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55" w:rsidRPr="00E1560F" w:rsidRDefault="00EF7C55" w:rsidP="00A0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E4C" w:rsidRPr="00E1560F" w:rsidRDefault="002B7E4C" w:rsidP="00A02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4"/>
      <w:bookmarkEnd w:id="0"/>
      <w:r w:rsidRPr="00E15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01E1A8" wp14:editId="533AC99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E4C" w:rsidRPr="00E1560F" w:rsidRDefault="002B7E4C" w:rsidP="00A02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0F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2B7E4C" w:rsidRPr="00E1560F" w:rsidRDefault="002B7E4C" w:rsidP="00A02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0F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2B7E4C" w:rsidRPr="00E1560F" w:rsidRDefault="002B7E4C" w:rsidP="00A02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0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B7E4C" w:rsidRPr="00E1560F" w:rsidRDefault="002B7E4C" w:rsidP="00A02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0F">
        <w:rPr>
          <w:rFonts w:ascii="Times New Roman" w:hAnsi="Times New Roman" w:cs="Times New Roman"/>
          <w:b/>
          <w:sz w:val="24"/>
          <w:szCs w:val="24"/>
        </w:rPr>
        <w:t>СЕРЕБРЯНСКОГО СЕЛЬСКОГО ПОСЕЛЕНИЯ</w:t>
      </w:r>
    </w:p>
    <w:p w:rsidR="002B7E4C" w:rsidRPr="00E1560F" w:rsidRDefault="002B7E4C" w:rsidP="00A02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E4C" w:rsidRPr="00E1560F" w:rsidRDefault="002B7E4C" w:rsidP="00A02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0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B7E4C" w:rsidRPr="00E1560F" w:rsidRDefault="002B7E4C" w:rsidP="00A02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E4C" w:rsidRPr="00E1560F" w:rsidRDefault="002B7E4C" w:rsidP="00A02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60F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E1560F" w:rsidRPr="00E1560F">
        <w:rPr>
          <w:rFonts w:ascii="Times New Roman" w:hAnsi="Times New Roman" w:cs="Times New Roman"/>
          <w:b/>
          <w:sz w:val="24"/>
          <w:szCs w:val="24"/>
        </w:rPr>
        <w:t xml:space="preserve">                            2024</w:t>
      </w:r>
      <w:r w:rsidRPr="00E1560F">
        <w:rPr>
          <w:rFonts w:ascii="Times New Roman" w:hAnsi="Times New Roman" w:cs="Times New Roman"/>
          <w:b/>
          <w:sz w:val="24"/>
          <w:szCs w:val="24"/>
        </w:rPr>
        <w:t xml:space="preserve"> года                №</w:t>
      </w:r>
    </w:p>
    <w:p w:rsidR="002B7E4C" w:rsidRPr="00E1560F" w:rsidRDefault="002B7E4C" w:rsidP="00A02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E4C" w:rsidRPr="00A02874" w:rsidRDefault="002B7E4C" w:rsidP="00A02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6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Об утверждении программы</w:t>
      </w:r>
      <w:r w:rsidR="00A02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60F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в сфере муниципал</w:t>
      </w:r>
      <w:r w:rsidR="00FD0677">
        <w:rPr>
          <w:rFonts w:ascii="Times New Roman" w:hAnsi="Times New Roman" w:cs="Times New Roman"/>
          <w:b/>
          <w:sz w:val="24"/>
          <w:szCs w:val="24"/>
        </w:rPr>
        <w:t>ьного жилищного контроля на 2025</w:t>
      </w:r>
      <w:r w:rsidRPr="00E1560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E1560F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Серебрянского сельского поселения Лужского муниципального района Ленинградской области</w:t>
      </w:r>
    </w:p>
    <w:p w:rsidR="002B7E4C" w:rsidRPr="00E1560F" w:rsidRDefault="002B7E4C" w:rsidP="00A028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4C" w:rsidRPr="00E1560F" w:rsidRDefault="002B7E4C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целях реализации Постановления Правительства Российской Федерации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для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Уставом муниципального образования Серебрянское сельское поселение, администрация Серебрянского сельского поселения Лужского муниципального района </w:t>
      </w:r>
    </w:p>
    <w:p w:rsidR="002B7E4C" w:rsidRPr="00E1560F" w:rsidRDefault="002B7E4C" w:rsidP="00A0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2B7E4C" w:rsidRPr="00E1560F" w:rsidRDefault="002B7E4C" w:rsidP="00A02874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1560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ПОСТАНОВЛЯЕТ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2B7E4C" w:rsidRPr="00E1560F" w:rsidRDefault="002B7E4C" w:rsidP="00A02874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A02874" w:rsidRPr="00A02874" w:rsidRDefault="002B7E4C" w:rsidP="00A028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Утвердить Программу </w:t>
      </w:r>
      <w:r w:rsidRPr="00A02874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</w:t>
      </w:r>
      <w:r w:rsidR="00A02874" w:rsidRPr="00A02874">
        <w:rPr>
          <w:rFonts w:ascii="Times New Roman" w:hAnsi="Times New Roman" w:cs="Times New Roman"/>
          <w:sz w:val="24"/>
          <w:szCs w:val="24"/>
        </w:rPr>
        <w:t>ьного жилищного контроля на 2025</w:t>
      </w:r>
      <w:r w:rsidRPr="00A02874">
        <w:rPr>
          <w:rFonts w:ascii="Times New Roman" w:hAnsi="Times New Roman" w:cs="Times New Roman"/>
          <w:sz w:val="24"/>
          <w:szCs w:val="24"/>
        </w:rPr>
        <w:t xml:space="preserve"> год</w:t>
      </w:r>
      <w:r w:rsidRPr="00A02874">
        <w:rPr>
          <w:rFonts w:ascii="Times New Roman" w:hAnsi="Times New Roman" w:cs="Times New Roman"/>
          <w:bCs/>
          <w:sz w:val="24"/>
          <w:szCs w:val="24"/>
        </w:rPr>
        <w:t xml:space="preserve"> на территории Серебрянского сельского поселения Лужского муниципального района Ленинградской области </w:t>
      </w:r>
      <w:r w:rsidRPr="00A02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(Приложение).</w:t>
      </w:r>
    </w:p>
    <w:p w:rsidR="00A02874" w:rsidRPr="00A02874" w:rsidRDefault="002B7E4C" w:rsidP="00A028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Опубликовать настоящее постановление на официальном сайте администрации Серебрянского сельского поселения. </w:t>
      </w:r>
    </w:p>
    <w:p w:rsidR="002B7E4C" w:rsidRPr="00A02874" w:rsidRDefault="002B7E4C" w:rsidP="00A028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Настоящее постановление вступает в силу после его официального опубликования.</w:t>
      </w:r>
    </w:p>
    <w:p w:rsidR="002B7E4C" w:rsidRPr="00E1560F" w:rsidRDefault="002B7E4C" w:rsidP="00A028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7E4C" w:rsidRPr="00E1560F" w:rsidRDefault="002B7E4C" w:rsidP="00A028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7E4C" w:rsidRPr="00E1560F" w:rsidRDefault="002B7E4C" w:rsidP="00A028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60F"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</w:p>
    <w:p w:rsidR="002B7E4C" w:rsidRPr="00E1560F" w:rsidRDefault="002B7E4C" w:rsidP="00A028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60F">
        <w:rPr>
          <w:rFonts w:ascii="Times New Roman" w:hAnsi="Times New Roman" w:cs="Times New Roman"/>
          <w:bCs/>
          <w:sz w:val="24"/>
          <w:szCs w:val="24"/>
        </w:rPr>
        <w:t>Серебрянского сельского поселения                                                                                   С.А. Пальок</w:t>
      </w:r>
    </w:p>
    <w:p w:rsidR="002B7E4C" w:rsidRPr="00E1560F" w:rsidRDefault="002B7E4C" w:rsidP="00A02874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2B7E4C" w:rsidRPr="00E1560F" w:rsidRDefault="002B7E4C" w:rsidP="00A028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4C" w:rsidRPr="00E1560F" w:rsidRDefault="002B7E4C" w:rsidP="00A028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4C" w:rsidRPr="00E1560F" w:rsidRDefault="002B7E4C" w:rsidP="00A02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E4C" w:rsidRPr="00E1560F" w:rsidRDefault="002B7E4C" w:rsidP="00A02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E4C" w:rsidRPr="00E1560F" w:rsidRDefault="002B7E4C" w:rsidP="00A02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E4C" w:rsidRPr="00E1560F" w:rsidRDefault="002B7E4C" w:rsidP="00A02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E4C" w:rsidRPr="00E1560F" w:rsidRDefault="002B7E4C" w:rsidP="00A02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560F" w:rsidRPr="00E1560F" w:rsidRDefault="00E1560F" w:rsidP="00F41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E4C" w:rsidRPr="00E1560F" w:rsidRDefault="002B7E4C" w:rsidP="00A02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2B7E4C" w:rsidRPr="00E1560F" w:rsidRDefault="002B7E4C" w:rsidP="00A02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B7E4C" w:rsidRPr="00E1560F" w:rsidRDefault="002B7E4C" w:rsidP="00A02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</w:rPr>
        <w:t>Серебрянского сельского поселения</w:t>
      </w:r>
    </w:p>
    <w:p w:rsidR="002B7E4C" w:rsidRPr="00E1560F" w:rsidRDefault="002B7E4C" w:rsidP="00A02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</w:rPr>
        <w:t>Лужского муниципального района</w:t>
      </w:r>
    </w:p>
    <w:p w:rsidR="002B7E4C" w:rsidRPr="00E1560F" w:rsidRDefault="002B7E4C" w:rsidP="00A02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B7E4C" w:rsidRPr="00A02874" w:rsidRDefault="002B7E4C" w:rsidP="00A02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</w:rPr>
        <w:t>_________________ С.А. Пальок</w:t>
      </w:r>
    </w:p>
    <w:p w:rsidR="002B7E4C" w:rsidRPr="00E1560F" w:rsidRDefault="002B7E4C" w:rsidP="00A028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60F" w:rsidRPr="00E1560F" w:rsidRDefault="00E1560F" w:rsidP="00A02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ПРОГРАММА</w:t>
      </w:r>
    </w:p>
    <w:p w:rsidR="00E1560F" w:rsidRPr="00E1560F" w:rsidRDefault="00E1560F" w:rsidP="00A02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профилактики рисков причинения вреда (ущерба) охраняемым законом ценностям на 2025 год в сфере муниципального жилищного контроля на территории муниципального образования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</w:t>
      </w:r>
    </w:p>
    <w:p w:rsidR="00E1560F" w:rsidRDefault="00E1560F" w:rsidP="00A02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156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Ленинградской области.</w:t>
      </w:r>
    </w:p>
    <w:p w:rsidR="00E1560F" w:rsidRPr="00E1560F" w:rsidRDefault="00E1560F" w:rsidP="00A02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60F" w:rsidRDefault="00E1560F" w:rsidP="00A02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156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Общие положения</w:t>
      </w:r>
    </w:p>
    <w:p w:rsidR="00E1560F" w:rsidRPr="00E1560F" w:rsidRDefault="00E1560F" w:rsidP="00A02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Настоящая Программа профилактики рисков причинения вреда (ущерба) охраняемым законом ценностям на 2025 год в сфере муниципального жилищного контроля на территории муниципального образования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 Ленинградской области 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60F" w:rsidRDefault="00E1560F" w:rsidP="00A02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156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Раздел I. Анализ текущего состояния осуществления муниципального жилищного контроля на территории муниципального образования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 Ленинградской области,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1560F" w:rsidRPr="00E1560F" w:rsidRDefault="00E1560F" w:rsidP="00A02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Достаточно большое количество ежегодно выявляемых нарушений законодательства в сфере муниципального жилищного контроля на территории муниципального образования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 Ленинградской области свидетельствует о необходимости продолжения активной работы в сфере муниципального жилищного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 Ленинградской области.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2025 году в целях профилактики нарушений требований законодательства в сфере муниципального жилищного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 Ленинградской области планируется: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1) постоянное совершенствование и развитие тематического раздела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Серебрянского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в информационно-телекоммуникационной сети Интернет: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жилищного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 Ленинградской области, а также информации о должностных лицах, осуществляющих муниципальный контроль в области муниципального жилищного контроля, их контактных данных;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в) дополнительное информирование контролируемых лиц через новостной блок официального интернет-сайта об изменениях законодательства в сфере муниципального жилищного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 Ленинградской области;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в сфере муниципального жилищного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 Ленинградской области;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3) ежегодное обобщение правоприменительной практики с указанием наиболее часто встречающихся случаев нарушений требований законодательства в сфере муниципального жилищного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 Ленинградской области с рекомендациями в отношении мер, которые должны приниматься в целях недопущения таких нарушений;</w:t>
      </w:r>
    </w:p>
    <w:p w:rsid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 объявление предостережений о недопустимости на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рушения обязательных требований.</w:t>
      </w:r>
    </w:p>
    <w:p w:rsidR="00E1560F" w:rsidRPr="00E1560F" w:rsidRDefault="00E1560F" w:rsidP="00A0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0F" w:rsidRDefault="00E1560F" w:rsidP="00A02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156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Раздел II. Цели и задачи реализации программы профилактики</w:t>
      </w:r>
    </w:p>
    <w:p w:rsidR="00E1560F" w:rsidRPr="00E1560F" w:rsidRDefault="00E1560F" w:rsidP="00A0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стимулирование добросовестного соблюдения обязательных требований всеми контролируемыми лицами;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5) повышение прозрачности осуществления регионального государственного строительного надзора;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достижения поставленной цели необходимо решить следующие основные задачи: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1) формирование у контролируемых лиц единообразного понимания требований законодательства в сфере муниципального жилищного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 Ленинградской области;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повышение прозрачности деятельности при осуществлении муниципального жилищного контроля;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3) выявление наиболее часто встречающихся случаев нарушений требований законодательства в сфере муниципального жилищного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 Ленинградской области, подготовка и размещение на официальном интернет-сайте соответствующих руководств в целях недопущения указанных нарушений.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1) принцип понятности — представление контролируемым лицам информации о требованиях законодательства в сфере муниципального жилищного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 Ленинградской области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принцип информационной открытости — доступность для контролируемых лиц сведений об организации и проведении профилактических мероприятий;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принцип обязательности — строгая необходимость проведения профилактических мероприятий;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4) принцип полноты охвата — привлечение к настоящей программе максимально-возможного числа контролируемых лиц;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5) принцип релевантности —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6) принцип актуальности — анализ и актуализация настоящей программы;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7) принцип периодичности — обеспечение безусловной регулярности проведения профилактических мероприятий.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самообследования</w:t>
      </w:r>
      <w:proofErr w:type="spellEnd"/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) не предусмотрена, следовательно, в программе способы </w:t>
      </w:r>
      <w:proofErr w:type="spellStart"/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самообследования</w:t>
      </w:r>
      <w:proofErr w:type="spellEnd"/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автоматизированном режиме не определены (ч.1 ст.51 №248-ФЗ).</w:t>
      </w:r>
    </w:p>
    <w:p w:rsidR="00A02874" w:rsidRPr="00E1560F" w:rsidRDefault="00A02874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60F" w:rsidRDefault="00E1560F" w:rsidP="00A02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156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Раздел III. Перечень профилактических мероприятий, сроки (периодичность) их проведения</w:t>
      </w:r>
    </w:p>
    <w:p w:rsidR="00A02874" w:rsidRPr="00E1560F" w:rsidRDefault="00A02874" w:rsidP="00A02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60F" w:rsidRPr="00E1560F" w:rsidRDefault="00E1560F" w:rsidP="00A028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1560F" w:rsidRPr="00E1560F" w:rsidRDefault="00E1560F" w:rsidP="00A028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Перечень основных профилактических мероприятий Программы на 2025 год приведен в таблице №1.</w:t>
      </w:r>
    </w:p>
    <w:p w:rsidR="00E1560F" w:rsidRPr="00E1560F" w:rsidRDefault="00E1560F" w:rsidP="00A028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Таблица № 1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91"/>
        <w:gridCol w:w="4518"/>
        <w:gridCol w:w="2333"/>
        <w:gridCol w:w="2453"/>
      </w:tblGrid>
      <w:tr w:rsidR="00E1560F" w:rsidRPr="00E1560F" w:rsidTr="00A02874">
        <w:tc>
          <w:tcPr>
            <w:tcW w:w="437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№ п/п</w:t>
            </w: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Профилактические мероприятия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Периодичность проведения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Адресат мероприятия</w:t>
            </w:r>
          </w:p>
        </w:tc>
      </w:tr>
      <w:tr w:rsidR="00E1560F" w:rsidRPr="00E1560F" w:rsidTr="00A02874">
        <w:tc>
          <w:tcPr>
            <w:tcW w:w="437" w:type="pct"/>
            <w:hideMark/>
          </w:tcPr>
          <w:p w:rsidR="00E1560F" w:rsidRPr="00E1560F" w:rsidRDefault="00E1560F" w:rsidP="00A0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E1560F" w:rsidRPr="00E1560F" w:rsidTr="00A02874">
        <w:tc>
          <w:tcPr>
            <w:tcW w:w="437" w:type="pct"/>
            <w:vMerge w:val="restar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Серебрянского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 Лужского муниципального района Ленинградской области актуальной информации: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203" w:type="pct"/>
            <w:vMerge w:val="restar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c>
          <w:tcPr>
            <w:tcW w:w="437" w:type="pct"/>
            <w:vMerge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тексты нормативных правовых актов, регулирующих осуществление муниципального жилищного контроля 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Серебрянское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сельское поселение Лужского муниципального района Ленинградской области;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10 дней с даты принятия нормативно-правового акта</w:t>
            </w:r>
          </w:p>
        </w:tc>
        <w:tc>
          <w:tcPr>
            <w:tcW w:w="1203" w:type="pct"/>
            <w:vMerge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0F" w:rsidRPr="00E1560F" w:rsidTr="00A02874">
        <w:tc>
          <w:tcPr>
            <w:tcW w:w="437" w:type="pct"/>
            <w:vMerge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сведения об изменениях, внесенных в нормативные правовые акты, регулирующие осуществление муниципального жилищного контроля 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Серебрянское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сельское поселение Лужского муниципального района Ленинградской области, о сроках и порядке их вступления в силу;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10 дней с даты внесения изменений в нормативные правовые акты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c>
          <w:tcPr>
            <w:tcW w:w="437" w:type="pct"/>
            <w:vMerge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1560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перечень</w:t>
              </w:r>
            </w:hyperlink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10 дней с даты принятия нормативно-правового акта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c>
          <w:tcPr>
            <w:tcW w:w="437" w:type="pct"/>
            <w:vMerge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2025 г, поддерживать в актуальном состоянии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c>
          <w:tcPr>
            <w:tcW w:w="437" w:type="pct"/>
            <w:vMerge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2025 г, поддерживать в актуальном состоянии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c>
          <w:tcPr>
            <w:tcW w:w="437" w:type="pct"/>
            <w:vMerge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2025 г, поддерживать в актуальном состоянии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c>
          <w:tcPr>
            <w:tcW w:w="437" w:type="pct"/>
            <w:vMerge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срок до 3 дней со дня утверждения доклада</w:t>
            </w:r>
          </w:p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(с периодичностью, не реже одного раза в год)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c>
          <w:tcPr>
            <w:tcW w:w="437" w:type="pct"/>
            <w:vMerge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ежегодный доклад о муниципальном жилищном контроле 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Серебрянское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сельское поселение Лужского муниципального района Ленинградской области;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срок до 3 дней со дня утверждения доклада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c>
          <w:tcPr>
            <w:tcW w:w="437" w:type="pct"/>
            <w:vMerge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c>
          <w:tcPr>
            <w:tcW w:w="437" w:type="pct"/>
            <w:vMerge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Программы профилактики на 2026 г.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 позднее</w:t>
            </w:r>
          </w:p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 октября 2025 г.</w:t>
            </w:r>
          </w:p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(проект Программы для общественного обсуждения);</w:t>
            </w:r>
          </w:p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течение 5 дней со дня утверждения 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(утвержденной Программы)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местного самоуправления</w:t>
            </w:r>
          </w:p>
        </w:tc>
      </w:tr>
      <w:tr w:rsidR="00E1560F" w:rsidRPr="00E1560F" w:rsidTr="00A02874">
        <w:tc>
          <w:tcPr>
            <w:tcW w:w="437" w:type="pct"/>
            <w:vMerge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Ежегодных планов проведения плановых контрольных (надзорных) мероприятий по муниципальному жилищному контролю 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Серебрянское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сельское поселение Лужского муниципального района Ленинградской области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5 рабочих дней со дня их утверждения</w:t>
            </w:r>
          </w:p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c>
          <w:tcPr>
            <w:tcW w:w="437" w:type="pct"/>
            <w:vMerge w:val="restar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 в сфере муниципального жилищного контроля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Серебрянское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сельское поселение Лужского муниципального района Ленинградской области: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c>
          <w:tcPr>
            <w:tcW w:w="437" w:type="pct"/>
            <w:vMerge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публикаций в средствах массовой информации (газеты, журналы);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2025 года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c>
          <w:tcPr>
            <w:tcW w:w="437" w:type="pct"/>
            <w:vMerge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публикаций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Серебрянского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2025 г.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rPr>
          <w:trHeight w:val="2100"/>
        </w:trPr>
        <w:tc>
          <w:tcPr>
            <w:tcW w:w="437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Обобщение контрольным (надзорным) органом правоприменительной практики осуществления муниципального жилищного контроля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Серебрянское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сельское поселение Лужского муниципального района Ленинградской области в части компетенции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ежегодно, не позднее 1 марта 2025 года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rPr>
          <w:trHeight w:val="960"/>
        </w:trPr>
        <w:tc>
          <w:tcPr>
            <w:tcW w:w="437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соответствии с российским законодательством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rPr>
          <w:trHeight w:val="3180"/>
        </w:trPr>
        <w:tc>
          <w:tcPr>
            <w:tcW w:w="437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1) порядка проведения контрольных мероприятий;</w:t>
            </w:r>
          </w:p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2) периодичности проведения контрольных мероприятий;</w:t>
            </w:r>
          </w:p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3) порядка принятия решений по итогам контрольных мероприятий;</w:t>
            </w:r>
          </w:p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4) порядка обжалования решений Контрольного органа.</w:t>
            </w:r>
          </w:p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 муниципального жилищного контроля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Серебрянское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сельское поселение Лужского муниципального района Ленинградской области в отношении контролируемых лиц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rPr>
          <w:trHeight w:val="75"/>
        </w:trPr>
        <w:tc>
          <w:tcPr>
            <w:tcW w:w="437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 реже чем 2 раза в год (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и 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квартал 2025 г.)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1560F" w:rsidRPr="00E1560F" w:rsidTr="00A02874">
        <w:trPr>
          <w:trHeight w:val="60"/>
        </w:trPr>
        <w:tc>
          <w:tcPr>
            <w:tcW w:w="437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2216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 в сфере муниципального жилищного контроля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Серебрянское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сельское поселение Лужского муниципального района Ленинградской области на 2025 год.</w:t>
            </w:r>
          </w:p>
        </w:tc>
        <w:tc>
          <w:tcPr>
            <w:tcW w:w="1144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 позднее</w:t>
            </w:r>
          </w:p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 октября 2025 г. (разработка);</w:t>
            </w:r>
          </w:p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 позднее</w:t>
            </w:r>
          </w:p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 декабря 2025 г.</w:t>
            </w:r>
          </w:p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(утверждение)</w:t>
            </w:r>
          </w:p>
        </w:tc>
        <w:tc>
          <w:tcPr>
            <w:tcW w:w="120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A02874" w:rsidRDefault="00A02874" w:rsidP="00A028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1560F" w:rsidRDefault="00E1560F" w:rsidP="00A02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156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Раздел IV. Показатели результативности и эффективности Программы</w:t>
      </w:r>
    </w:p>
    <w:p w:rsidR="00A02874" w:rsidRPr="00E1560F" w:rsidRDefault="00A02874" w:rsidP="00A0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Основными показателями эффективности и результативности являются: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количество проведенных профилактических мероприятий;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количество контролируемых лиц, в отношении которых проведены профилактические мероприятия;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Перечень уполномоченных лиц, ответственных за организацию и проведение профилактических мероприятий Программы на 2025 год приведен в таблице № 2.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Текущее управление и контроль за ходом реализации Программы осуществляет Администрация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Серебрянского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Лужского муниципального района Ленинградской области.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Мониторинг реализации Программы осуществляется на регулярной основе.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Результаты профилактической работы включаются в ежегодные доклады об осуществлении муниципального жилищного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 Ленинградской области и в виде отдельного информационного сообщения размещаются на официальном сайте Администрации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Серебрянского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 Лужского муниципального района Ленинградской области в информационно-коммуникационной сети «Интернет».</w:t>
      </w:r>
    </w:p>
    <w:p w:rsidR="00E1560F" w:rsidRPr="00E1560F" w:rsidRDefault="00E1560F" w:rsidP="00A028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Таблица № 2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07"/>
        <w:gridCol w:w="2412"/>
        <w:gridCol w:w="2347"/>
        <w:gridCol w:w="2035"/>
        <w:gridCol w:w="2494"/>
      </w:tblGrid>
      <w:tr w:rsidR="00E1560F" w:rsidRPr="00E1560F" w:rsidTr="00A02874">
        <w:tc>
          <w:tcPr>
            <w:tcW w:w="445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118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ФИО</w:t>
            </w:r>
          </w:p>
        </w:tc>
        <w:tc>
          <w:tcPr>
            <w:tcW w:w="1151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Должность</w:t>
            </w:r>
          </w:p>
        </w:tc>
        <w:tc>
          <w:tcPr>
            <w:tcW w:w="998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Функции</w:t>
            </w:r>
          </w:p>
        </w:tc>
        <w:tc>
          <w:tcPr>
            <w:tcW w:w="122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Контакты</w:t>
            </w:r>
          </w:p>
        </w:tc>
      </w:tr>
      <w:tr w:rsidR="00E1560F" w:rsidRPr="00E1560F" w:rsidTr="00A02874">
        <w:tc>
          <w:tcPr>
            <w:tcW w:w="445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83" w:type="pct"/>
            <w:hideMark/>
          </w:tcPr>
          <w:p w:rsidR="00E1560F" w:rsidRPr="00E1560F" w:rsidRDefault="00A02874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Пальок Светлана Александровна</w:t>
            </w:r>
          </w:p>
        </w:tc>
        <w:tc>
          <w:tcPr>
            <w:tcW w:w="1151" w:type="pct"/>
            <w:hideMark/>
          </w:tcPr>
          <w:p w:rsidR="00E1560F" w:rsidRPr="00E1560F" w:rsidRDefault="00A02874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Глава </w:t>
            </w:r>
            <w:r w:rsidR="00E1560F"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администрации </w:t>
            </w:r>
            <w:r w:rsid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Серебрянского</w:t>
            </w:r>
            <w:r w:rsidR="00E1560F"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998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223" w:type="pct"/>
            <w:hideMark/>
          </w:tcPr>
          <w:p w:rsidR="00E1560F" w:rsidRPr="00E1560F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8 (81372) </w:t>
            </w:r>
            <w:r w:rsidR="00A028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59 258</w:t>
            </w:r>
          </w:p>
        </w:tc>
      </w:tr>
    </w:tbl>
    <w:p w:rsidR="00A02874" w:rsidRDefault="00A02874" w:rsidP="00A02874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Ожидаемый результат Программы —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снижения</w:t>
      </w:r>
      <w:proofErr w:type="gramEnd"/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Целевые показатели результативности мероприятий Программы по муниципальному жилищному контролю: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1) Количество выявленных нарушений требований законодательства в сфере муниципального жилищного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 Ленинградской области, шт.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муниципального жилищного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 Ленинградской области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Показатели эффективности: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1) Снижение количества выявленных при проведении контрольно-надзорных мероприятий нарушений требований законодательства в сфере муниципального жилищного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Серебрянское</w:t>
      </w: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 Лужского муниципального района Ленинградской области.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Количество проведенных профилактических мероприятий контрольным (надзорным) органом, ед.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Доля профилактических мероприятий в объеме контрольно-надзорных мероприятий, %.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Отчетным периодом для определения значений показателей является календарный год.</w:t>
      </w:r>
    </w:p>
    <w:p w:rsidR="00A02874" w:rsidRDefault="00A02874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ectPr w:rsidR="00A02874" w:rsidSect="00E1560F">
          <w:headerReference w:type="defaul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1560F" w:rsidRPr="00E1560F" w:rsidRDefault="00E1560F" w:rsidP="00A0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E1560F" w:rsidRPr="00E1560F" w:rsidRDefault="00E1560F" w:rsidP="00A028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156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Таблица № 3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62"/>
        <w:gridCol w:w="2423"/>
        <w:gridCol w:w="2009"/>
        <w:gridCol w:w="2207"/>
        <w:gridCol w:w="920"/>
        <w:gridCol w:w="1205"/>
        <w:gridCol w:w="1384"/>
        <w:gridCol w:w="979"/>
        <w:gridCol w:w="898"/>
        <w:gridCol w:w="898"/>
        <w:gridCol w:w="898"/>
        <w:gridCol w:w="1111"/>
      </w:tblGrid>
      <w:tr w:rsidR="00E1560F" w:rsidRPr="00A02874" w:rsidTr="00A02874">
        <w:tc>
          <w:tcPr>
            <w:tcW w:w="243" w:type="pct"/>
            <w:vMerge w:val="restart"/>
            <w:hideMark/>
          </w:tcPr>
          <w:p w:rsid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</w:p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772" w:type="pct"/>
            <w:vMerge w:val="restar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640" w:type="pct"/>
            <w:vMerge w:val="restar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Сроки исполнения</w:t>
            </w:r>
          </w:p>
        </w:tc>
        <w:tc>
          <w:tcPr>
            <w:tcW w:w="2133" w:type="pct"/>
            <w:gridSpan w:val="5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Показатели результатов деятельности</w:t>
            </w:r>
          </w:p>
        </w:tc>
        <w:tc>
          <w:tcPr>
            <w:tcW w:w="1212" w:type="pct"/>
            <w:gridSpan w:val="4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Бюджетные ассигнования в разрезе бюджетов (расход), тыс. руб.</w:t>
            </w:r>
          </w:p>
        </w:tc>
      </w:tr>
      <w:tr w:rsidR="00A02874" w:rsidRPr="00A02874" w:rsidTr="00A02874">
        <w:tc>
          <w:tcPr>
            <w:tcW w:w="243" w:type="pct"/>
            <w:vMerge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 показателя (*)</w:t>
            </w:r>
          </w:p>
        </w:tc>
        <w:tc>
          <w:tcPr>
            <w:tcW w:w="293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ед. изм.</w:t>
            </w:r>
          </w:p>
        </w:tc>
        <w:tc>
          <w:tcPr>
            <w:tcW w:w="384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Пла</w:t>
            </w:r>
            <w:proofErr w:type="spellEnd"/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-новое</w:t>
            </w:r>
            <w:proofErr w:type="gramEnd"/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значе-ние</w:t>
            </w:r>
            <w:proofErr w:type="spellEnd"/>
          </w:p>
        </w:tc>
        <w:tc>
          <w:tcPr>
            <w:tcW w:w="441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Фак-</w:t>
            </w:r>
            <w:proofErr w:type="spellStart"/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тическ</w:t>
            </w:r>
            <w:proofErr w:type="spellEnd"/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ое</w:t>
            </w:r>
            <w:proofErr w:type="spellEnd"/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значе-ние</w:t>
            </w:r>
            <w:proofErr w:type="spellEnd"/>
            <w:proofErr w:type="gramEnd"/>
          </w:p>
        </w:tc>
        <w:tc>
          <w:tcPr>
            <w:tcW w:w="312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Отк</w:t>
            </w:r>
            <w:proofErr w:type="spellEnd"/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ло</w:t>
            </w:r>
            <w:proofErr w:type="spellEnd"/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-не-</w:t>
            </w:r>
            <w:proofErr w:type="spellStart"/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ние</w:t>
            </w:r>
            <w:proofErr w:type="spellEnd"/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</w:p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(-/+, %)</w:t>
            </w:r>
          </w:p>
        </w:tc>
        <w:tc>
          <w:tcPr>
            <w:tcW w:w="286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ФБ</w:t>
            </w:r>
          </w:p>
        </w:tc>
        <w:tc>
          <w:tcPr>
            <w:tcW w:w="286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</w:t>
            </w:r>
          </w:p>
        </w:tc>
        <w:tc>
          <w:tcPr>
            <w:tcW w:w="286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МБ</w:t>
            </w:r>
          </w:p>
        </w:tc>
        <w:tc>
          <w:tcPr>
            <w:tcW w:w="354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Иные</w:t>
            </w:r>
          </w:p>
        </w:tc>
      </w:tr>
      <w:tr w:rsidR="00A02874" w:rsidRPr="00A02874" w:rsidTr="00A02874">
        <w:trPr>
          <w:trHeight w:val="3825"/>
        </w:trPr>
        <w:tc>
          <w:tcPr>
            <w:tcW w:w="243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772" w:type="pct"/>
            <w:hideMark/>
          </w:tcPr>
          <w:p w:rsidR="00E1560F" w:rsidRPr="00F85152" w:rsidRDefault="00F85152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Программа</w:t>
            </w:r>
            <w:r w:rsidRPr="00F8515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рисков причинения вреда (ущерба) охраняемым законом ценностям в сфере муниципального жилищного контроля на 2025 год</w:t>
            </w:r>
            <w:r w:rsidRPr="00F85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Серебрянского сельского поселения Лужского муниципального района Ленинградской области</w:t>
            </w:r>
          </w:p>
        </w:tc>
        <w:tc>
          <w:tcPr>
            <w:tcW w:w="640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  <w:bookmarkStart w:id="1" w:name="_GoBack"/>
            <w:bookmarkEnd w:id="1"/>
            <w:r w:rsidRPr="00A028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25 год</w:t>
            </w:r>
          </w:p>
        </w:tc>
        <w:tc>
          <w:tcPr>
            <w:tcW w:w="703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Выполнение запланированных мероприятий</w:t>
            </w:r>
          </w:p>
        </w:tc>
        <w:tc>
          <w:tcPr>
            <w:tcW w:w="293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384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100%</w:t>
            </w:r>
          </w:p>
        </w:tc>
        <w:tc>
          <w:tcPr>
            <w:tcW w:w="441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0,00</w:t>
            </w:r>
          </w:p>
        </w:tc>
        <w:tc>
          <w:tcPr>
            <w:tcW w:w="286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0,00</w:t>
            </w:r>
          </w:p>
        </w:tc>
        <w:tc>
          <w:tcPr>
            <w:tcW w:w="286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0,00</w:t>
            </w:r>
          </w:p>
        </w:tc>
        <w:tc>
          <w:tcPr>
            <w:tcW w:w="354" w:type="pct"/>
            <w:hideMark/>
          </w:tcPr>
          <w:p w:rsidR="00E1560F" w:rsidRPr="00A02874" w:rsidRDefault="00E1560F" w:rsidP="00A0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0,00</w:t>
            </w:r>
          </w:p>
        </w:tc>
      </w:tr>
    </w:tbl>
    <w:p w:rsidR="00F97AA5" w:rsidRPr="00E1560F" w:rsidRDefault="00F97AA5" w:rsidP="00A0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7AA5" w:rsidRPr="00E1560F" w:rsidSect="00A0287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D2" w:rsidRDefault="00864FD2" w:rsidP="00A33365">
      <w:pPr>
        <w:spacing w:after="0" w:line="240" w:lineRule="auto"/>
      </w:pPr>
      <w:r>
        <w:separator/>
      </w:r>
    </w:p>
  </w:endnote>
  <w:endnote w:type="continuationSeparator" w:id="0">
    <w:p w:rsidR="00864FD2" w:rsidRDefault="00864FD2" w:rsidP="00A3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D2" w:rsidRDefault="00864FD2" w:rsidP="00A33365">
      <w:pPr>
        <w:spacing w:after="0" w:line="240" w:lineRule="auto"/>
      </w:pPr>
      <w:r>
        <w:separator/>
      </w:r>
    </w:p>
  </w:footnote>
  <w:footnote w:type="continuationSeparator" w:id="0">
    <w:p w:rsidR="00864FD2" w:rsidRDefault="00864FD2" w:rsidP="00A3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4C" w:rsidRPr="002B7E4C" w:rsidRDefault="002B7E4C" w:rsidP="002B7E4C">
    <w:pPr>
      <w:pStyle w:val="ad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9641C4C"/>
    <w:multiLevelType w:val="hybridMultilevel"/>
    <w:tmpl w:val="8EB428E2"/>
    <w:lvl w:ilvl="0" w:tplc="A7A4F3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D87EBA"/>
    <w:multiLevelType w:val="multilevel"/>
    <w:tmpl w:val="14F2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E0214"/>
    <w:multiLevelType w:val="hybridMultilevel"/>
    <w:tmpl w:val="866E9406"/>
    <w:lvl w:ilvl="0" w:tplc="595C7E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26558"/>
    <w:rsid w:val="00050C22"/>
    <w:rsid w:val="0006507F"/>
    <w:rsid w:val="000A1210"/>
    <w:rsid w:val="000C6765"/>
    <w:rsid w:val="000D3750"/>
    <w:rsid w:val="00100CB8"/>
    <w:rsid w:val="00106C57"/>
    <w:rsid w:val="00116D5D"/>
    <w:rsid w:val="00124652"/>
    <w:rsid w:val="0012786D"/>
    <w:rsid w:val="00150DDA"/>
    <w:rsid w:val="0016785E"/>
    <w:rsid w:val="001A7A29"/>
    <w:rsid w:val="001F2052"/>
    <w:rsid w:val="00245F1C"/>
    <w:rsid w:val="00247A91"/>
    <w:rsid w:val="00251296"/>
    <w:rsid w:val="002571A3"/>
    <w:rsid w:val="002705A7"/>
    <w:rsid w:val="00291377"/>
    <w:rsid w:val="002A2A8F"/>
    <w:rsid w:val="002A4A91"/>
    <w:rsid w:val="002B7E4C"/>
    <w:rsid w:val="002F2F5E"/>
    <w:rsid w:val="00311122"/>
    <w:rsid w:val="00386294"/>
    <w:rsid w:val="00396668"/>
    <w:rsid w:val="003E6236"/>
    <w:rsid w:val="004050B5"/>
    <w:rsid w:val="004250E9"/>
    <w:rsid w:val="00443C3C"/>
    <w:rsid w:val="00447B46"/>
    <w:rsid w:val="004C4152"/>
    <w:rsid w:val="004F5351"/>
    <w:rsid w:val="0054445B"/>
    <w:rsid w:val="00550023"/>
    <w:rsid w:val="00561434"/>
    <w:rsid w:val="00582404"/>
    <w:rsid w:val="00596C84"/>
    <w:rsid w:val="005B726E"/>
    <w:rsid w:val="005E6E36"/>
    <w:rsid w:val="005F046D"/>
    <w:rsid w:val="00663E1B"/>
    <w:rsid w:val="00683C4D"/>
    <w:rsid w:val="006A1744"/>
    <w:rsid w:val="006C12F6"/>
    <w:rsid w:val="006C5617"/>
    <w:rsid w:val="006C56B2"/>
    <w:rsid w:val="006F3981"/>
    <w:rsid w:val="00720002"/>
    <w:rsid w:val="00720616"/>
    <w:rsid w:val="007818CA"/>
    <w:rsid w:val="007B6444"/>
    <w:rsid w:val="00802A67"/>
    <w:rsid w:val="008154C2"/>
    <w:rsid w:val="00864FD2"/>
    <w:rsid w:val="00874FAB"/>
    <w:rsid w:val="00894BFF"/>
    <w:rsid w:val="009265B1"/>
    <w:rsid w:val="00956820"/>
    <w:rsid w:val="0095771B"/>
    <w:rsid w:val="009C7161"/>
    <w:rsid w:val="009D454E"/>
    <w:rsid w:val="009E0193"/>
    <w:rsid w:val="00A02874"/>
    <w:rsid w:val="00A25E69"/>
    <w:rsid w:val="00A33365"/>
    <w:rsid w:val="00A50F10"/>
    <w:rsid w:val="00A620AD"/>
    <w:rsid w:val="00AE7F20"/>
    <w:rsid w:val="00B706C7"/>
    <w:rsid w:val="00BB065F"/>
    <w:rsid w:val="00C01FB9"/>
    <w:rsid w:val="00C140F1"/>
    <w:rsid w:val="00C817C0"/>
    <w:rsid w:val="00C937A6"/>
    <w:rsid w:val="00CC3BD3"/>
    <w:rsid w:val="00CC7251"/>
    <w:rsid w:val="00CE295A"/>
    <w:rsid w:val="00CF104A"/>
    <w:rsid w:val="00D2386D"/>
    <w:rsid w:val="00D24115"/>
    <w:rsid w:val="00D4036B"/>
    <w:rsid w:val="00D437D5"/>
    <w:rsid w:val="00D53B1F"/>
    <w:rsid w:val="00DA0D04"/>
    <w:rsid w:val="00DA3302"/>
    <w:rsid w:val="00DA45DE"/>
    <w:rsid w:val="00DC261A"/>
    <w:rsid w:val="00DC6F6C"/>
    <w:rsid w:val="00DD67D2"/>
    <w:rsid w:val="00DE2A44"/>
    <w:rsid w:val="00E1560F"/>
    <w:rsid w:val="00E54854"/>
    <w:rsid w:val="00E65317"/>
    <w:rsid w:val="00EF3D14"/>
    <w:rsid w:val="00EF7C55"/>
    <w:rsid w:val="00F05528"/>
    <w:rsid w:val="00F41D96"/>
    <w:rsid w:val="00F63058"/>
    <w:rsid w:val="00F85152"/>
    <w:rsid w:val="00F87198"/>
    <w:rsid w:val="00F97AA5"/>
    <w:rsid w:val="00FA7276"/>
    <w:rsid w:val="00FB2B78"/>
    <w:rsid w:val="00FC3E7D"/>
    <w:rsid w:val="00F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1C548-D76E-4B8A-AA53-8602AD2D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3C3C"/>
    <w:pPr>
      <w:ind w:left="720"/>
      <w:contextualSpacing/>
    </w:pPr>
  </w:style>
  <w:style w:type="paragraph" w:customStyle="1" w:styleId="ConsPlusTitle">
    <w:name w:val="ConsPlusTitle"/>
    <w:rsid w:val="00EF7C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EF7C55"/>
  </w:style>
  <w:style w:type="paragraph" w:styleId="a5">
    <w:name w:val="No Spacing"/>
    <w:uiPriority w:val="1"/>
    <w:qFormat/>
    <w:rsid w:val="00EF7C55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CC3BD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C3BD3"/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C3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3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6">
    <w:name w:val="s26"/>
    <w:basedOn w:val="a"/>
    <w:rsid w:val="00CC3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C3BD3"/>
  </w:style>
  <w:style w:type="paragraph" w:styleId="a6">
    <w:name w:val="annotation text"/>
    <w:basedOn w:val="a"/>
    <w:link w:val="a7"/>
    <w:uiPriority w:val="99"/>
    <w:unhideWhenUsed/>
    <w:rsid w:val="00A33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A33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A33365"/>
    <w:rPr>
      <w:vertAlign w:val="superscript"/>
    </w:rPr>
  </w:style>
  <w:style w:type="character" w:styleId="a9">
    <w:name w:val="Hyperlink"/>
    <w:rsid w:val="00A3336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C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F6C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F9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E4C"/>
  </w:style>
  <w:style w:type="paragraph" w:styleId="af">
    <w:name w:val="footer"/>
    <w:basedOn w:val="a"/>
    <w:link w:val="af0"/>
    <w:uiPriority w:val="99"/>
    <w:unhideWhenUsed/>
    <w:rsid w:val="002B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E4C"/>
  </w:style>
  <w:style w:type="paragraph" w:styleId="af1">
    <w:name w:val="Normal (Web)"/>
    <w:basedOn w:val="a"/>
    <w:uiPriority w:val="99"/>
    <w:semiHidden/>
    <w:unhideWhenUsed/>
    <w:rsid w:val="00E1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B8EE-27B0-4A71-BACE-942FBFFF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sherbakova.y</dc:creator>
  <cp:lastModifiedBy>User</cp:lastModifiedBy>
  <cp:revision>6</cp:revision>
  <cp:lastPrinted>2021-11-30T12:45:00Z</cp:lastPrinted>
  <dcterms:created xsi:type="dcterms:W3CDTF">2023-09-28T08:39:00Z</dcterms:created>
  <dcterms:modified xsi:type="dcterms:W3CDTF">2024-10-28T07:56:00Z</dcterms:modified>
</cp:coreProperties>
</file>