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1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F651F" wp14:editId="65770DB5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F31CD7" w:rsidRPr="00F31CD7" w:rsidRDefault="00F31CD7" w:rsidP="00F31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257" w:rsidRPr="00930748" w:rsidRDefault="00466257" w:rsidP="00466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03 ноября 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2023 года                № </w:t>
      </w:r>
      <w:r>
        <w:rPr>
          <w:rFonts w:ascii="Times New Roman" w:hAnsi="Times New Roman" w:cs="Times New Roman"/>
          <w:b/>
          <w:sz w:val="24"/>
          <w:szCs w:val="24"/>
        </w:rPr>
        <w:t>274</w:t>
      </w: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программы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F31CD7">
        <w:rPr>
          <w:rFonts w:ascii="Times New Roman" w:hAnsi="Times New Roman" w:cs="Times New Roman"/>
          <w:b/>
          <w:sz w:val="24"/>
          <w:szCs w:val="24"/>
        </w:rPr>
        <w:t>в области муниципального лесного контроля на территории Серебрянс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 на 2024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31CD7" w:rsidRPr="00F31CD7" w:rsidRDefault="00F31CD7" w:rsidP="00F31C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31C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ПОСТАНОВЛЯЕТ</w:t>
      </w: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31CD7" w:rsidRPr="00F31CD7" w:rsidRDefault="00F31CD7" w:rsidP="00F31CD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Утвердить Программу </w:t>
      </w:r>
      <w:r w:rsidRPr="00F31CD7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F31CD7">
        <w:rPr>
          <w:rFonts w:ascii="Times New Roman" w:hAnsi="Times New Roman" w:cs="Times New Roman"/>
          <w:sz w:val="24"/>
          <w:szCs w:val="24"/>
        </w:rPr>
        <w:t>в области муниципального лесного контроля на территории Серебрянс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2024</w:t>
      </w:r>
      <w:r w:rsidRPr="00F31C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(Приложение).</w:t>
      </w:r>
    </w:p>
    <w:p w:rsidR="00F31CD7" w:rsidRPr="00F31CD7" w:rsidRDefault="00F31CD7" w:rsidP="00F31C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поселения. </w:t>
      </w:r>
    </w:p>
    <w:p w:rsidR="00F31CD7" w:rsidRPr="00F31CD7" w:rsidRDefault="00F31CD7" w:rsidP="00F31C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bCs/>
          <w:sz w:val="24"/>
          <w:szCs w:val="24"/>
        </w:rPr>
        <w:t>Серебрянского сельского поселения                                                                                      С.А. Пальок</w:t>
      </w: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7C55" w:rsidRDefault="00F31CD7" w:rsidP="00F31CD7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_________________ С.А. Пальок</w:t>
      </w:r>
    </w:p>
    <w:p w:rsidR="00F31CD7" w:rsidRPr="00F31CD7" w:rsidRDefault="00F31CD7" w:rsidP="00F31CD7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F31CD7" w:rsidRPr="00F31CD7" w:rsidRDefault="00596C84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F31CD7" w:rsidRPr="00F31CD7">
        <w:rPr>
          <w:rFonts w:ascii="Times New Roman" w:hAnsi="Times New Roman" w:cs="Times New Roman"/>
          <w:b/>
          <w:sz w:val="24"/>
          <w:szCs w:val="24"/>
        </w:rPr>
        <w:t>в области муниципального лесного контроля на территории Серебрянс</w:t>
      </w:r>
      <w:r w:rsidR="00F31CD7">
        <w:rPr>
          <w:rFonts w:ascii="Times New Roman" w:hAnsi="Times New Roman" w:cs="Times New Roman"/>
          <w:b/>
          <w:sz w:val="24"/>
          <w:szCs w:val="24"/>
        </w:rPr>
        <w:t>кого сельского поселения на 2024</w:t>
      </w:r>
      <w:r w:rsidR="00F31CD7" w:rsidRPr="00F31C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96C84" w:rsidRPr="00F31CD7" w:rsidRDefault="00596C84" w:rsidP="00F3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C84" w:rsidRPr="00F31CD7" w:rsidRDefault="00596C84" w:rsidP="005B2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F31CD7" w:rsidRDefault="00596C84" w:rsidP="00F3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84" w:rsidRPr="00F31CD7" w:rsidRDefault="00596C84" w:rsidP="005B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F31CD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31CD7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F31CD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31CD7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F31C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="00F31CD7" w:rsidRPr="00F31CD7">
        <w:rPr>
          <w:rFonts w:ascii="Times New Roman" w:hAnsi="Times New Roman" w:cs="Times New Roman"/>
          <w:sz w:val="24"/>
          <w:szCs w:val="24"/>
        </w:rPr>
        <w:t>в области муниципального лесного контроля на территории Серебрянского сельского поселения на 2024 год</w:t>
      </w:r>
      <w:r w:rsidR="00F97AA5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7C55" w:rsidRPr="00F31CD7" w:rsidRDefault="00116D5D" w:rsidP="00F31CD7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Par94"/>
      <w:bookmarkEnd w:id="2"/>
      <w:r w:rsidRPr="00F31CD7">
        <w:rPr>
          <w:rFonts w:ascii="Times New Roman" w:hAnsi="Times New Roman" w:cs="Times New Roman"/>
          <w:sz w:val="24"/>
          <w:szCs w:val="24"/>
        </w:rPr>
        <w:t xml:space="preserve">        </w:t>
      </w:r>
      <w:r w:rsidR="00596C84" w:rsidRPr="00F31CD7"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</w:t>
      </w:r>
      <w:r w:rsidR="00596C84" w:rsidRPr="00F31CD7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5B2084" w:rsidRPr="00F31CD7">
        <w:rPr>
          <w:rFonts w:ascii="Times New Roman" w:hAnsi="Times New Roman" w:cs="Times New Roman"/>
          <w:sz w:val="24"/>
          <w:szCs w:val="24"/>
        </w:rPr>
        <w:t xml:space="preserve">в области муниципального лесного контроля на территории Серебрянского сельского поселения на 2024 год </w:t>
      </w:r>
      <w:r w:rsidR="00EF7C55" w:rsidRPr="00F31CD7">
        <w:rPr>
          <w:rFonts w:ascii="Times New Roman" w:hAnsi="Times New Roman" w:cs="Times New Roman"/>
          <w:sz w:val="24"/>
          <w:szCs w:val="24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Администрация </w:t>
      </w:r>
      <w:r w:rsidR="00F31CD7">
        <w:rPr>
          <w:rFonts w:ascii="Times New Roman" w:hAnsi="Times New Roman" w:cs="Times New Roman"/>
          <w:sz w:val="24"/>
          <w:szCs w:val="24"/>
        </w:rPr>
        <w:t>Серебрянского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F31CD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91916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лесной контроль</w:t>
      </w:r>
      <w:r w:rsidR="00596C84" w:rsidRPr="00F31CD7">
        <w:rPr>
          <w:rFonts w:ascii="Times New Roman" w:hAnsi="Times New Roman" w:cs="Times New Roman"/>
          <w:sz w:val="24"/>
          <w:szCs w:val="24"/>
        </w:rPr>
        <w:t>,</w:t>
      </w:r>
      <w:r w:rsidRPr="00F31CD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96C84" w:rsidRPr="00F31CD7">
        <w:rPr>
          <w:rFonts w:ascii="Times New Roman" w:hAnsi="Times New Roman" w:cs="Times New Roman"/>
          <w:sz w:val="24"/>
          <w:szCs w:val="24"/>
        </w:rPr>
        <w:t>,</w:t>
      </w:r>
      <w:r w:rsidRPr="00F31CD7">
        <w:rPr>
          <w:rFonts w:ascii="Times New Roman" w:hAnsi="Times New Roman" w:cs="Times New Roman"/>
          <w:sz w:val="24"/>
          <w:szCs w:val="24"/>
        </w:rPr>
        <w:t xml:space="preserve"> посредством проведения профилактических мероприятий.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При осуществлении </w:t>
      </w:r>
      <w:r w:rsidR="00491916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лесного контроля </w:t>
      </w:r>
      <w:r w:rsidRPr="00F31CD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F31CD7" w:rsidRDefault="00A33365" w:rsidP="00F31C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5B2084">
        <w:rPr>
          <w:rFonts w:ascii="Times New Roman" w:hAnsi="Times New Roman" w:cs="Times New Roman"/>
          <w:sz w:val="24"/>
          <w:szCs w:val="24"/>
        </w:rPr>
        <w:t xml:space="preserve">муниципальный лесной </w:t>
      </w:r>
      <w:r w:rsidRPr="00F31CD7">
        <w:rPr>
          <w:rFonts w:ascii="Times New Roman" w:hAnsi="Times New Roman" w:cs="Times New Roman"/>
          <w:sz w:val="24"/>
          <w:szCs w:val="24"/>
        </w:rPr>
        <w:t xml:space="preserve">контроль, незамедлительно направляет информацию об этом главе (заместителю главы) 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F31CD7">
        <w:rPr>
          <w:rFonts w:ascii="Times New Roman" w:hAnsi="Times New Roman" w:cs="Times New Roman"/>
          <w:sz w:val="24"/>
          <w:szCs w:val="24"/>
        </w:rPr>
        <w:t>Лужского</w:t>
      </w:r>
      <w:r w:rsidRPr="00F31CD7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проведении контрольных мероприятий.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При осуществлении администрацией </w:t>
      </w:r>
      <w:r w:rsidR="00491916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лесного контроля </w:t>
      </w:r>
      <w:r w:rsidRPr="00F31CD7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1) информирование;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2) обобщение правоприменительной практики;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lastRenderedPageBreak/>
        <w:t xml:space="preserve">         3) объявление предостережений;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4) консультирование;</w:t>
      </w:r>
    </w:p>
    <w:p w:rsidR="00A33365" w:rsidRPr="00F31CD7" w:rsidRDefault="005B2084" w:rsidP="00F31C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596C84" w:rsidRPr="00F31CD7" w:rsidRDefault="00596C84" w:rsidP="00F31C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A67" w:rsidRPr="00F31CD7" w:rsidRDefault="00802A67" w:rsidP="00F31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75"/>
      <w:bookmarkEnd w:id="3"/>
      <w:r w:rsidRPr="00F31CD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F7C55" w:rsidRPr="00F31CD7">
        <w:rPr>
          <w:rFonts w:ascii="Times New Roman" w:hAnsi="Times New Roman" w:cs="Times New Roman"/>
          <w:b/>
          <w:sz w:val="24"/>
          <w:szCs w:val="24"/>
        </w:rPr>
        <w:t>1</w:t>
      </w:r>
      <w:r w:rsidRPr="00F31CD7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D437D5" w:rsidRPr="00F31CD7" w:rsidRDefault="00D437D5" w:rsidP="00F31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67" w:rsidRPr="00F31CD7" w:rsidRDefault="00802A67" w:rsidP="00F31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Основн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>ыми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>ями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2F2F5E" w:rsidRPr="00F31CD7" w:rsidRDefault="008154C2" w:rsidP="005B20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С</w:t>
      </w:r>
      <w:r w:rsidR="00D2386D" w:rsidRPr="00F31CD7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F3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F31CD7" w:rsidRDefault="008154C2" w:rsidP="005B20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У</w:t>
      </w:r>
      <w:r w:rsidR="00D2386D" w:rsidRPr="00F31CD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F31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4C2" w:rsidRPr="005B2084" w:rsidRDefault="008154C2" w:rsidP="005B20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С</w:t>
      </w:r>
      <w:r w:rsidR="00D2386D" w:rsidRPr="00F31CD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F31CD7" w:rsidRDefault="00CC7251" w:rsidP="005B20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F31CD7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F31C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F31CD7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У</w:t>
      </w:r>
      <w:r w:rsidR="00396668" w:rsidRPr="00F31CD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F31CD7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F31CD7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F31CD7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F31CD7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О</w:t>
      </w:r>
      <w:r w:rsidR="00802A67" w:rsidRPr="00F31CD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F31CD7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В</w:t>
      </w:r>
      <w:r w:rsidR="00802A67" w:rsidRPr="00F31CD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О</w:t>
      </w:r>
      <w:r w:rsidR="00802A67" w:rsidRPr="00F31CD7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F31CD7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491916" w:rsidRPr="00F31CD7">
        <w:rPr>
          <w:rFonts w:ascii="Times New Roman" w:hAnsi="Times New Roman" w:cs="Times New Roman"/>
          <w:sz w:val="24"/>
          <w:szCs w:val="24"/>
        </w:rPr>
        <w:t xml:space="preserve"> уровней риска.</w:t>
      </w:r>
      <w:r w:rsidR="00443C3C" w:rsidRPr="00F3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84" w:rsidRPr="005B2084" w:rsidRDefault="005B2084" w:rsidP="005B2084">
      <w:pPr>
        <w:pStyle w:val="a3"/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0DDA" w:rsidRPr="00F31CD7" w:rsidRDefault="00150DDA" w:rsidP="005B2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F31CD7" w:rsidRDefault="007B6444" w:rsidP="00F31C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31CD7">
        <w:rPr>
          <w:rFonts w:ascii="Times New Roman" w:hAnsi="Times New Roman" w:cs="Times New Roman"/>
          <w:sz w:val="24"/>
          <w:szCs w:val="24"/>
        </w:rPr>
        <w:t>официального сайта администрации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31CD7">
        <w:rPr>
          <w:rFonts w:ascii="Times New Roman" w:hAnsi="Times New Roman" w:cs="Times New Roman"/>
          <w:sz w:val="24"/>
          <w:szCs w:val="24"/>
        </w:rPr>
        <w:t>, в средствах массовой информации,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3365" w:rsidRPr="00F31CD7" w:rsidRDefault="00A33365" w:rsidP="005931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31CD7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F31CD7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Администрация также вправе информировать население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Pr="00F31CD7">
        <w:rPr>
          <w:rFonts w:ascii="Times New Roman" w:hAnsi="Times New Roman" w:cs="Times New Roman"/>
          <w:sz w:val="24"/>
          <w:szCs w:val="24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5B2084" w:rsidRDefault="00A33365" w:rsidP="005B20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B2084" w:rsidRDefault="00A33365" w:rsidP="005B20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491916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лесного контроля </w:t>
      </w:r>
      <w:r w:rsidRPr="00F31CD7">
        <w:rPr>
          <w:rFonts w:ascii="Times New Roman" w:hAnsi="Times New Roman" w:cs="Times New Roman"/>
          <w:sz w:val="24"/>
          <w:szCs w:val="24"/>
        </w:rPr>
        <w:t>и утверждаемый распоряжением администрации, подписываемым главой администрации.</w:t>
      </w:r>
    </w:p>
    <w:p w:rsidR="00A33365" w:rsidRPr="00F31CD7" w:rsidRDefault="00A33365" w:rsidP="005B20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lastRenderedPageBreak/>
        <w:t xml:space="preserve">        Предостережение о недопустимости нарушения обязательных требований и предложение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31CD7">
        <w:rPr>
          <w:rFonts w:ascii="Times New Roman" w:hAnsi="Times New Roman" w:cs="Times New Roman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F31CD7">
        <w:rPr>
          <w:rFonts w:ascii="Times New Roman" w:hAnsi="Times New Roman" w:cs="Times New Roman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F31CD7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Pr="00F31CD7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Предостережение о недопустимости нарушения обязательных требований оформляется в соответствии с формой, утвержденной 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CF104A"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151</w:t>
      </w:r>
      <w:r w:rsidR="00100CB8"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3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 w:rsidRPr="00F31CD7">
        <w:rPr>
          <w:rFonts w:ascii="Times New Roman" w:hAnsi="Times New Roman" w:cs="Times New Roman"/>
          <w:sz w:val="24"/>
          <w:szCs w:val="24"/>
        </w:rPr>
        <w:t>,</w:t>
      </w:r>
      <w:r w:rsidRPr="00F31CD7">
        <w:rPr>
          <w:rFonts w:ascii="Times New Roman" w:hAnsi="Times New Roman" w:cs="Times New Roman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Личный прием граждан проводится главой (заместителем главы)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F31CD7">
        <w:rPr>
          <w:rFonts w:ascii="Times New Roman" w:hAnsi="Times New Roman" w:cs="Times New Roman"/>
          <w:sz w:val="24"/>
          <w:szCs w:val="24"/>
        </w:rPr>
        <w:t>Л</w:t>
      </w:r>
      <w:r w:rsidR="00CF104A" w:rsidRPr="00F31CD7">
        <w:rPr>
          <w:rFonts w:ascii="Times New Roman" w:hAnsi="Times New Roman" w:cs="Times New Roman"/>
          <w:sz w:val="24"/>
          <w:szCs w:val="24"/>
        </w:rPr>
        <w:t>ужского</w:t>
      </w:r>
      <w:r w:rsidRPr="00F31CD7"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F31CD7" w:rsidRDefault="00A33365" w:rsidP="005B20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A33365" w:rsidRPr="00F31CD7">
        <w:rPr>
          <w:rFonts w:ascii="Times New Roman" w:hAnsi="Times New Roman" w:cs="Times New Roman"/>
          <w:sz w:val="24"/>
          <w:szCs w:val="24"/>
        </w:rPr>
        <w:t>Л</w:t>
      </w:r>
      <w:r w:rsidR="00DC6F6C" w:rsidRPr="00F31CD7">
        <w:rPr>
          <w:rFonts w:ascii="Times New Roman" w:hAnsi="Times New Roman" w:cs="Times New Roman"/>
          <w:sz w:val="24"/>
          <w:szCs w:val="24"/>
        </w:rPr>
        <w:t>ужского</w:t>
      </w:r>
      <w:r w:rsidR="00A33365" w:rsidRPr="00F31CD7">
        <w:rPr>
          <w:rFonts w:ascii="Times New Roman" w:hAnsi="Times New Roman" w:cs="Times New Roman"/>
          <w:sz w:val="24"/>
          <w:szCs w:val="24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 w:rsidRPr="00F31CD7">
        <w:rPr>
          <w:rFonts w:ascii="Times New Roman" w:hAnsi="Times New Roman" w:cs="Times New Roman"/>
          <w:sz w:val="24"/>
          <w:szCs w:val="24"/>
        </w:rPr>
        <w:t>,</w:t>
      </w:r>
      <w:r w:rsidR="00A33365" w:rsidRPr="00F31CD7">
        <w:rPr>
          <w:rFonts w:ascii="Times New Roman" w:hAnsi="Times New Roman" w:cs="Times New Roman"/>
          <w:sz w:val="24"/>
          <w:szCs w:val="24"/>
        </w:rPr>
        <w:t xml:space="preserve"> либо путем использования видео-конференц-связи.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 w:rsidRPr="00F31CD7">
        <w:rPr>
          <w:rFonts w:ascii="Times New Roman" w:hAnsi="Times New Roman" w:cs="Times New Roman"/>
          <w:sz w:val="24"/>
          <w:szCs w:val="24"/>
        </w:rPr>
        <w:t>,</w:t>
      </w:r>
      <w:r w:rsidR="00A33365" w:rsidRPr="00F31CD7">
        <w:rPr>
          <w:rFonts w:ascii="Times New Roman" w:hAnsi="Times New Roman" w:cs="Times New Roman"/>
          <w:sz w:val="24"/>
          <w:szCs w:val="24"/>
        </w:rPr>
        <w:t xml:space="preserve"> либо к принадлежащим ему объектам контроля.</w:t>
      </w:r>
    </w:p>
    <w:p w:rsidR="00D24115" w:rsidRPr="00F31CD7" w:rsidRDefault="00A33365" w:rsidP="00F31C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F31CD7" w:rsidRDefault="00D24115" w:rsidP="00F31C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50DDA" w:rsidRPr="00F31CD7" w:rsidRDefault="00150DDA" w:rsidP="00F31C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31CD7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31CD7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F31CD7" w:rsidRDefault="00150DDA" w:rsidP="00F3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6751"/>
        <w:gridCol w:w="2763"/>
      </w:tblGrid>
      <w:tr w:rsidR="009D454E" w:rsidRPr="005B2084" w:rsidTr="005B208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</w:tr>
      <w:tr w:rsidR="009D454E" w:rsidRPr="005B2084" w:rsidTr="005B208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8154C2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C817C0" w:rsidP="00F31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 xml:space="preserve">Полнота </w:t>
            </w:r>
            <w:r w:rsidR="006A1744" w:rsidRPr="005B2084">
              <w:rPr>
                <w:rFonts w:ascii="Times New Roman" w:hAnsi="Times New Roman" w:cs="Times New Roman"/>
                <w:szCs w:val="24"/>
              </w:rPr>
              <w:t>информации</w:t>
            </w:r>
            <w:r w:rsidRPr="005B2084">
              <w:rPr>
                <w:rFonts w:ascii="Times New Roman" w:hAnsi="Times New Roman" w:cs="Times New Roman"/>
                <w:szCs w:val="24"/>
              </w:rPr>
              <w:t>, размещенной</w:t>
            </w:r>
            <w:r w:rsidR="006A1744" w:rsidRPr="005B2084">
              <w:rPr>
                <w:rFonts w:ascii="Times New Roman" w:hAnsi="Times New Roman" w:cs="Times New Roman"/>
                <w:szCs w:val="24"/>
              </w:rPr>
              <w:t xml:space="preserve"> на официальном сайте</w:t>
            </w:r>
            <w:r w:rsidR="000A1210" w:rsidRPr="005B2084">
              <w:rPr>
                <w:rFonts w:ascii="Times New Roman" w:hAnsi="Times New Roman" w:cs="Times New Roman"/>
                <w:szCs w:val="24"/>
              </w:rPr>
              <w:t xml:space="preserve"> контрольного органа</w:t>
            </w:r>
            <w:r w:rsidR="006A1744" w:rsidRPr="005B2084">
              <w:rPr>
                <w:rFonts w:ascii="Times New Roman" w:hAnsi="Times New Roman" w:cs="Times New Roman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5B20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B208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D454E" w:rsidRPr="005B2084" w:rsidTr="005B208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8154C2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2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8154C2" w:rsidP="00F31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5B2084">
              <w:rPr>
                <w:rFonts w:ascii="Times New Roman" w:hAnsi="Times New Roman" w:cs="Times New Roman"/>
                <w:szCs w:val="24"/>
              </w:rPr>
              <w:t xml:space="preserve"> (надзорного)</w:t>
            </w:r>
            <w:r w:rsidRPr="005B2084">
              <w:rPr>
                <w:rFonts w:ascii="Times New Roman" w:hAnsi="Times New Roman" w:cs="Times New Roman"/>
                <w:szCs w:val="24"/>
              </w:rPr>
              <w:t xml:space="preserve">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5B20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B2084">
              <w:rPr>
                <w:rFonts w:ascii="Times New Roman" w:hAnsi="Times New Roman" w:cs="Times New Roman"/>
                <w:szCs w:val="24"/>
              </w:rPr>
              <w:t>% от числа обратившихся</w:t>
            </w:r>
          </w:p>
        </w:tc>
      </w:tr>
      <w:tr w:rsidR="009D454E" w:rsidRPr="005B2084" w:rsidTr="005B208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8154C2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3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D24115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не менее 1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>0 мероприятий, проведенных контрольным</w:t>
            </w:r>
            <w:r w:rsidR="00C817C0" w:rsidRPr="005B2084">
              <w:rPr>
                <w:rFonts w:ascii="Times New Roman" w:hAnsi="Times New Roman" w:cs="Times New Roman"/>
                <w:szCs w:val="24"/>
              </w:rPr>
              <w:t xml:space="preserve"> (надзорным)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 xml:space="preserve"> органом</w:t>
            </w:r>
          </w:p>
        </w:tc>
      </w:tr>
    </w:tbl>
    <w:p w:rsidR="005B2084" w:rsidRDefault="005B2084" w:rsidP="005B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2084" w:rsidSect="005B2084">
          <w:head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97AA5" w:rsidRPr="00F31CD7" w:rsidRDefault="00F97AA5" w:rsidP="005B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84" w:rsidRPr="00F31CD7" w:rsidRDefault="005B2084" w:rsidP="005B208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5B2084" w:rsidRPr="00F31CD7" w:rsidRDefault="005B2084" w:rsidP="005B208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осуществления </w:t>
      </w:r>
      <w:r w:rsidRPr="00F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лесного контроля</w:t>
      </w:r>
      <w:r w:rsidRPr="00F31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Серебрянского</w:t>
      </w:r>
      <w:r w:rsidRPr="00F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1C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Лужского муниципального района Ленинградской области на 2024 год</w:t>
      </w:r>
    </w:p>
    <w:p w:rsidR="005B2084" w:rsidRPr="00F31CD7" w:rsidRDefault="005B2084" w:rsidP="005B208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8"/>
        <w:gridCol w:w="4878"/>
        <w:gridCol w:w="4693"/>
        <w:gridCol w:w="2935"/>
        <w:gridCol w:w="2640"/>
      </w:tblGrid>
      <w:tr w:rsidR="005B2084" w:rsidRPr="005B2084" w:rsidTr="005B2084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Содержание мероприятия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Срок реализации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Ответственный за реализацию мероприятия исполнитель</w:t>
            </w:r>
          </w:p>
        </w:tc>
      </w:tr>
      <w:tr w:rsidR="005B2084" w:rsidRPr="005B2084" w:rsidTr="005B2084">
        <w:trPr>
          <w:trHeight w:val="51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Консультирование контролируемых лиц в устной или письменной форме по вопросам муниципального лесного контроля: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- организация и осуществление муниципального лесного контроля;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- порядок осуществления контрольных мероприятий;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97AA5" w:rsidRPr="00F31CD7" w:rsidRDefault="00F97AA5" w:rsidP="00F31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AA5" w:rsidRPr="00F31CD7" w:rsidSect="005B2084"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F97AA5" w:rsidRPr="00F31CD7" w:rsidRDefault="00F97AA5" w:rsidP="0053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AA5" w:rsidRPr="00F31CD7" w:rsidSect="00F31CD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D6" w:rsidRDefault="00111DD6" w:rsidP="00A33365">
      <w:pPr>
        <w:spacing w:after="0" w:line="240" w:lineRule="auto"/>
      </w:pPr>
      <w:r>
        <w:separator/>
      </w:r>
    </w:p>
  </w:endnote>
  <w:endnote w:type="continuationSeparator" w:id="0">
    <w:p w:rsidR="00111DD6" w:rsidRDefault="00111DD6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D6" w:rsidRDefault="00111DD6" w:rsidP="00A33365">
      <w:pPr>
        <w:spacing w:after="0" w:line="240" w:lineRule="auto"/>
      </w:pPr>
      <w:r>
        <w:separator/>
      </w:r>
    </w:p>
  </w:footnote>
  <w:footnote w:type="continuationSeparator" w:id="0">
    <w:p w:rsidR="00111DD6" w:rsidRDefault="00111DD6" w:rsidP="00A3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D7" w:rsidRPr="00F31CD7" w:rsidRDefault="00F31CD7" w:rsidP="00F31CD7">
    <w:pPr>
      <w:pStyle w:val="ad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0E0214"/>
    <w:multiLevelType w:val="multilevel"/>
    <w:tmpl w:val="E24403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0CB8"/>
    <w:rsid w:val="00106C57"/>
    <w:rsid w:val="00111DD6"/>
    <w:rsid w:val="00116D5D"/>
    <w:rsid w:val="00124652"/>
    <w:rsid w:val="0012786D"/>
    <w:rsid w:val="00150DDA"/>
    <w:rsid w:val="0016785E"/>
    <w:rsid w:val="001A7A29"/>
    <w:rsid w:val="0022479A"/>
    <w:rsid w:val="00245F1C"/>
    <w:rsid w:val="00251296"/>
    <w:rsid w:val="002571A3"/>
    <w:rsid w:val="002705A7"/>
    <w:rsid w:val="00291377"/>
    <w:rsid w:val="002A2A8F"/>
    <w:rsid w:val="002A4A91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66257"/>
    <w:rsid w:val="00491916"/>
    <w:rsid w:val="004C4152"/>
    <w:rsid w:val="004F5351"/>
    <w:rsid w:val="0053297D"/>
    <w:rsid w:val="0054445B"/>
    <w:rsid w:val="00550023"/>
    <w:rsid w:val="00561434"/>
    <w:rsid w:val="00582404"/>
    <w:rsid w:val="00593147"/>
    <w:rsid w:val="00596C84"/>
    <w:rsid w:val="005B2084"/>
    <w:rsid w:val="005B726E"/>
    <w:rsid w:val="005E6E36"/>
    <w:rsid w:val="005F046D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9265B1"/>
    <w:rsid w:val="00956820"/>
    <w:rsid w:val="0095771B"/>
    <w:rsid w:val="009C7161"/>
    <w:rsid w:val="009D454E"/>
    <w:rsid w:val="009E0193"/>
    <w:rsid w:val="00A33365"/>
    <w:rsid w:val="00A50F10"/>
    <w:rsid w:val="00A620AD"/>
    <w:rsid w:val="00A7429D"/>
    <w:rsid w:val="00AE7F20"/>
    <w:rsid w:val="00B40227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255C2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E54854"/>
    <w:rsid w:val="00E65317"/>
    <w:rsid w:val="00EA5081"/>
    <w:rsid w:val="00EF3D14"/>
    <w:rsid w:val="00EF7C55"/>
    <w:rsid w:val="00F05528"/>
    <w:rsid w:val="00F31CD7"/>
    <w:rsid w:val="00F63058"/>
    <w:rsid w:val="00F80321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F7DC-86E2-4CBD-94C3-859320F4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3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1CD7"/>
  </w:style>
  <w:style w:type="paragraph" w:styleId="af">
    <w:name w:val="footer"/>
    <w:basedOn w:val="a"/>
    <w:link w:val="af0"/>
    <w:uiPriority w:val="99"/>
    <w:unhideWhenUsed/>
    <w:rsid w:val="00F3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000B-EBB5-4AFD-85EB-776A194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Microsoft Office</cp:lastModifiedBy>
  <cp:revision>2</cp:revision>
  <cp:lastPrinted>2021-11-30T12:45:00Z</cp:lastPrinted>
  <dcterms:created xsi:type="dcterms:W3CDTF">2023-11-30T10:54:00Z</dcterms:created>
  <dcterms:modified xsi:type="dcterms:W3CDTF">2023-11-30T10:54:00Z</dcterms:modified>
</cp:coreProperties>
</file>