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9C290D" w:rsidRPr="00851DF1" w:rsidRDefault="009C290D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5540" w:rsidRPr="00851DF1" w:rsidRDefault="000B5540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08" w:rsidRPr="00851DF1" w:rsidRDefault="009C290D" w:rsidP="0085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О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22FE6">
        <w:rPr>
          <w:rFonts w:ascii="Times New Roman" w:hAnsi="Times New Roman" w:cs="Times New Roman"/>
          <w:b/>
          <w:sz w:val="24"/>
          <w:szCs w:val="24"/>
        </w:rPr>
        <w:t>07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5C5A6F">
        <w:rPr>
          <w:rFonts w:ascii="Times New Roman" w:hAnsi="Times New Roman" w:cs="Times New Roman"/>
          <w:b/>
          <w:sz w:val="24"/>
          <w:szCs w:val="24"/>
        </w:rPr>
        <w:t>2023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2FE6">
        <w:rPr>
          <w:rFonts w:ascii="Times New Roman" w:hAnsi="Times New Roman" w:cs="Times New Roman"/>
          <w:b/>
          <w:sz w:val="24"/>
          <w:szCs w:val="24"/>
        </w:rPr>
        <w:t>294</w:t>
      </w:r>
    </w:p>
    <w:p w:rsidR="007A338F" w:rsidRPr="00851DF1" w:rsidRDefault="007A338F" w:rsidP="0085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противодействия коррупции в администрации </w:t>
      </w:r>
      <w:r w:rsidR="009C290D" w:rsidRPr="00851DF1">
        <w:rPr>
          <w:rFonts w:ascii="Times New Roman" w:hAnsi="Times New Roman" w:cs="Times New Roman"/>
          <w:b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F22FE6">
        <w:rPr>
          <w:rFonts w:ascii="Times New Roman" w:hAnsi="Times New Roman" w:cs="Times New Roman"/>
          <w:b/>
          <w:sz w:val="24"/>
          <w:szCs w:val="24"/>
        </w:rPr>
        <w:t>4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7C8C" w:rsidRPr="00851DF1" w:rsidRDefault="00837C8C" w:rsidP="00851DF1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Pr="00851DF1">
        <w:rPr>
          <w:rFonts w:ascii="Times New Roman" w:hAnsi="Times New Roman" w:cs="Times New Roman"/>
          <w:sz w:val="24"/>
          <w:szCs w:val="24"/>
        </w:rPr>
        <w:br/>
        <w:t>01.04.2016 № 147 «О Национальном плане противодействия коррупции на</w:t>
      </w:r>
      <w:r w:rsidRPr="00851DF1">
        <w:rPr>
          <w:rFonts w:ascii="Times New Roman" w:hAnsi="Times New Roman" w:cs="Times New Roman"/>
          <w:sz w:val="24"/>
          <w:szCs w:val="24"/>
        </w:rPr>
        <w:br/>
        <w:t xml:space="preserve">2016-2017 годы», Федеральным законом от 25 декабря 2008 года № 273-ФЗ «О противодействии коррупции», в целях повышения эффективности деятельности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по профилактике коррупционных правонарушений, администрация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4071A" w:rsidRPr="00851DF1" w:rsidRDefault="0094071A" w:rsidP="0085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51DF1">
        <w:rPr>
          <w:rFonts w:ascii="Times New Roman" w:hAnsi="Times New Roman" w:cs="Times New Roman"/>
          <w:sz w:val="24"/>
          <w:szCs w:val="24"/>
        </w:rPr>
        <w:t>:</w:t>
      </w:r>
    </w:p>
    <w:p w:rsidR="0094071A" w:rsidRPr="00851DF1" w:rsidRDefault="0094071A" w:rsidP="0085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22FE6">
        <w:rPr>
          <w:rFonts w:ascii="Times New Roman" w:hAnsi="Times New Roman" w:cs="Times New Roman"/>
          <w:sz w:val="24"/>
          <w:szCs w:val="24"/>
        </w:rPr>
        <w:t>4</w:t>
      </w:r>
      <w:r w:rsidRPr="00851DF1">
        <w:rPr>
          <w:rFonts w:ascii="Times New Roman" w:hAnsi="Times New Roman" w:cs="Times New Roman"/>
          <w:sz w:val="24"/>
          <w:szCs w:val="24"/>
        </w:rPr>
        <w:t xml:space="preserve"> год (приложение).  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222470" w:rsidRPr="00851DF1" w:rsidRDefault="00222470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70" w:rsidRPr="00851DF1" w:rsidRDefault="00222470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071A" w:rsidRPr="00851DF1" w:rsidRDefault="009C290D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="00222470"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851DF1" w:rsidRPr="00851D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Pr="00851DF1">
        <w:rPr>
          <w:rFonts w:ascii="Times New Roman" w:hAnsi="Times New Roman" w:cs="Times New Roman"/>
          <w:sz w:val="24"/>
          <w:szCs w:val="24"/>
        </w:rPr>
        <w:t>С.А. Пальок</w:t>
      </w:r>
    </w:p>
    <w:p w:rsidR="0094071A" w:rsidRPr="00851DF1" w:rsidRDefault="0094071A" w:rsidP="00851DF1">
      <w:pPr>
        <w:tabs>
          <w:tab w:val="left" w:pos="6120"/>
        </w:tabs>
        <w:spacing w:after="0" w:line="240" w:lineRule="auto"/>
        <w:ind w:left="10773" w:right="-457" w:hanging="567"/>
        <w:jc w:val="center"/>
        <w:rPr>
          <w:rFonts w:ascii="Times New Roman" w:hAnsi="Times New Roman" w:cs="Times New Roman"/>
          <w:sz w:val="24"/>
          <w:szCs w:val="24"/>
        </w:rPr>
        <w:sectPr w:rsidR="0094071A" w:rsidRPr="00851DF1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 w:rsidRPr="00851DF1">
        <w:rPr>
          <w:rFonts w:ascii="Times New Roman" w:hAnsi="Times New Roman" w:cs="Times New Roman"/>
          <w:sz w:val="24"/>
          <w:szCs w:val="24"/>
        </w:rPr>
        <w:t>УТВЕ</w:t>
      </w:r>
    </w:p>
    <w:p w:rsidR="008A49F7" w:rsidRDefault="008A49F7" w:rsidP="00851DF1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УТВЕРЖДЕН</w:t>
      </w:r>
    </w:p>
    <w:p w:rsidR="0094071A" w:rsidRPr="00851DF1" w:rsidRDefault="006570C6" w:rsidP="006570C6">
      <w:pPr>
        <w:tabs>
          <w:tab w:val="left" w:pos="6120"/>
        </w:tabs>
        <w:spacing w:after="0" w:line="240" w:lineRule="auto"/>
        <w:ind w:left="12049"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4071A" w:rsidRPr="00851D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071A" w:rsidRPr="00851DF1" w:rsidRDefault="006570C6" w:rsidP="006570C6">
      <w:pPr>
        <w:tabs>
          <w:tab w:val="left" w:pos="6120"/>
        </w:tabs>
        <w:spacing w:after="0" w:line="240" w:lineRule="auto"/>
        <w:ind w:left="11340"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94071A" w:rsidRPr="00851DF1" w:rsidRDefault="008A49F7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DF1">
        <w:rPr>
          <w:rFonts w:ascii="Times New Roman" w:hAnsi="Times New Roman" w:cs="Times New Roman"/>
          <w:sz w:val="24"/>
          <w:szCs w:val="24"/>
        </w:rPr>
        <w:t>О</w:t>
      </w:r>
      <w:r w:rsidR="0094071A" w:rsidRPr="00851DF1">
        <w:rPr>
          <w:rFonts w:ascii="Times New Roman" w:hAnsi="Times New Roman" w:cs="Times New Roman"/>
          <w:sz w:val="24"/>
          <w:szCs w:val="24"/>
        </w:rPr>
        <w:t>т</w:t>
      </w:r>
      <w:r w:rsidR="005C5A6F">
        <w:rPr>
          <w:rFonts w:ascii="Times New Roman" w:hAnsi="Times New Roman" w:cs="Times New Roman"/>
          <w:sz w:val="24"/>
          <w:szCs w:val="24"/>
        </w:rPr>
        <w:t xml:space="preserve"> 07.12.2023</w:t>
      </w:r>
      <w:r w:rsidR="0094071A" w:rsidRPr="00851DF1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2FE6">
        <w:rPr>
          <w:rFonts w:ascii="Times New Roman" w:hAnsi="Times New Roman" w:cs="Times New Roman"/>
          <w:sz w:val="24"/>
          <w:szCs w:val="24"/>
        </w:rPr>
        <w:t>294</w:t>
      </w:r>
    </w:p>
    <w:p w:rsidR="0094071A" w:rsidRPr="00851DF1" w:rsidRDefault="0094071A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071A" w:rsidRPr="00851DF1" w:rsidRDefault="0094071A" w:rsidP="008A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49F7" w:rsidRPr="00851DF1" w:rsidRDefault="006570C6" w:rsidP="006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 w:rsidR="0094071A" w:rsidRPr="00851DF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9C290D" w:rsidRPr="00851DF1">
        <w:rPr>
          <w:rFonts w:ascii="Times New Roman" w:hAnsi="Times New Roman" w:cs="Times New Roman"/>
          <w:b/>
          <w:sz w:val="24"/>
          <w:szCs w:val="24"/>
        </w:rPr>
        <w:t>Серебрянского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4071A" w:rsidRPr="00851DF1">
        <w:rPr>
          <w:rFonts w:ascii="Times New Roman" w:hAnsi="Times New Roman" w:cs="Times New Roman"/>
          <w:b/>
          <w:sz w:val="24"/>
          <w:szCs w:val="24"/>
        </w:rPr>
        <w:t>на 202</w:t>
      </w:r>
      <w:r w:rsidR="00F22FE6">
        <w:rPr>
          <w:rFonts w:ascii="Times New Roman" w:hAnsi="Times New Roman" w:cs="Times New Roman"/>
          <w:b/>
          <w:sz w:val="24"/>
          <w:szCs w:val="24"/>
        </w:rPr>
        <w:t>4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5888"/>
        <w:gridCol w:w="1984"/>
        <w:gridCol w:w="3120"/>
        <w:gridCol w:w="3933"/>
      </w:tblGrid>
      <w:tr w:rsidR="008A49F7" w:rsidRPr="008A49F7" w:rsidTr="006570C6">
        <w:trPr>
          <w:trHeight w:val="48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 xml:space="preserve">Срок исполнения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Ответственный исполнитель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Ожидаемый результат реализации мероприятия</w:t>
            </w:r>
          </w:p>
        </w:tc>
      </w:tr>
      <w:tr w:rsidR="00141DC3" w:rsidRPr="008A49F7" w:rsidTr="008A49F7">
        <w:trPr>
          <w:trHeight w:val="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1. Организационные меры</w:t>
            </w:r>
          </w:p>
        </w:tc>
      </w:tr>
      <w:tr w:rsidR="008A49F7" w:rsidRPr="008A49F7" w:rsidTr="008A49F7">
        <w:trPr>
          <w:trHeight w:val="10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Подготовка и организация проведения заседаний комиссии по предупреждению и противодействию коррупции в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Председатель комиссии по предупреждению и противодействию коррупции в администрации Серебрянского сельского поселения </w:t>
            </w:r>
          </w:p>
          <w:p w:rsid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Секретарь комиссии по предупреждению и противодей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ствию коррупции в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ебрянского сельского поселения 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деятельности комиссии по предупреждению и противодействию коррупции в администрации Серебрянского сельского поселения.</w:t>
            </w:r>
          </w:p>
        </w:tc>
      </w:tr>
      <w:tr w:rsidR="008A49F7" w:rsidRPr="008A49F7" w:rsidTr="008A49F7">
        <w:trPr>
          <w:trHeight w:val="6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Разработка и принятие муниципальных планов п</w:t>
            </w:r>
            <w:r w:rsidR="00F22FE6">
              <w:rPr>
                <w:rFonts w:ascii="Times New Roman" w:hAnsi="Times New Roman" w:cs="Times New Roman"/>
                <w:szCs w:val="24"/>
                <w:lang w:bidi="ru-RU"/>
              </w:rPr>
              <w:t>ротиводействия коррупции на 2024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 год, а также планов работы комиссий </w:t>
            </w:r>
            <w:r w:rsidRPr="008A49F7">
              <w:rPr>
                <w:rFonts w:ascii="Times New Roman" w:hAnsi="Times New Roman" w:cs="Times New Roman"/>
                <w:szCs w:val="24"/>
              </w:rPr>
              <w:t>по предупреждению и противодействию коррупции</w:t>
            </w:r>
            <w:r w:rsidR="00F22FE6">
              <w:rPr>
                <w:rFonts w:ascii="Times New Roman" w:hAnsi="Times New Roman" w:cs="Times New Roman"/>
                <w:szCs w:val="24"/>
                <w:lang w:bidi="ru-RU"/>
              </w:rPr>
              <w:t xml:space="preserve"> на 2024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2024 года – март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актов.</w:t>
            </w:r>
          </w:p>
        </w:tc>
      </w:tr>
      <w:tr w:rsidR="00141DC3" w:rsidRPr="008A49F7" w:rsidTr="008A49F7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2. Правовое обеспечение противодействия коррупции</w:t>
            </w:r>
          </w:p>
        </w:tc>
      </w:tr>
      <w:tr w:rsidR="008A49F7" w:rsidRPr="008A49F7" w:rsidTr="008A49F7">
        <w:trPr>
          <w:trHeight w:val="9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выявление необходимости внесения изменений в муниципальные нормативные правовые акты.</w:t>
            </w:r>
          </w:p>
        </w:tc>
      </w:tr>
      <w:tr w:rsidR="008A49F7" w:rsidRPr="008A49F7" w:rsidTr="008A49F7">
        <w:trPr>
          <w:trHeight w:val="107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администрации Серебрянского сельского поселения в соответствии планом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с Планом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в Российской Федерации на </w:t>
            </w:r>
            <w:r w:rsidR="00F22FE6">
              <w:rPr>
                <w:rFonts w:ascii="Times New Roman" w:hAnsi="Times New Roman" w:cs="Times New Roman"/>
                <w:szCs w:val="24"/>
              </w:rPr>
              <w:lastRenderedPageBreak/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год, 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 и приведение муниципальных нормативных правовых актов в соответствие с действующим законодательством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постановлением Правительства Ленинградской области от 23.11.2010 № 310)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 и приведение муниципальных нормативных правовых актов в соответствие с действующим законодательством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Размещение проектов нормативных правовых актов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Серебрянского сельского поселения на официальном сайте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Выявление в муниципальных нормативных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правовых  актах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(проектах муниципальных нормативных правовых актов)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коррупциогенных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факторов и их последующее устранение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Серебрянского сельского поселения размещение указанного реестра на официальном сайте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 Лужского муниципального района Ленинградской области в информационно-телекоммуникационной сети «Интернет»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</w:t>
            </w:r>
          </w:p>
        </w:tc>
      </w:tr>
      <w:tr w:rsidR="00B02B21" w:rsidRPr="008A49F7" w:rsidTr="008A49F7">
        <w:trPr>
          <w:trHeight w:val="1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bCs/>
                <w:szCs w:val="24"/>
              </w:rPr>
              <w:t>3. Вопросы кадровой политики</w:t>
            </w:r>
          </w:p>
        </w:tc>
      </w:tr>
      <w:tr w:rsidR="00B02B21" w:rsidRPr="008A49F7" w:rsidTr="008A49F7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bCs/>
                <w:szCs w:val="24"/>
              </w:rPr>
              <w:t>3.1. Профилактика коррупционных и иных правонарушений</w:t>
            </w:r>
          </w:p>
        </w:tc>
      </w:tr>
      <w:tr w:rsidR="008A49F7" w:rsidRPr="008A49F7" w:rsidTr="008A49F7">
        <w:trPr>
          <w:trHeight w:val="103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– апрель 2024</w:t>
            </w:r>
            <w:r w:rsidR="00B02B21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17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3.1.2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представлением лицами,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B02B21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5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йтах муниципальных образований </w:t>
            </w:r>
            <w:r w:rsidRPr="008A49F7">
              <w:rPr>
                <w:rFonts w:ascii="Times New Roman" w:hAnsi="Times New Roman" w:cs="Times New Roman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14 рабочих дней со дня истечения срока</w:t>
            </w:r>
            <w:r w:rsidR="008A49F7">
              <w:rPr>
                <w:rFonts w:ascii="Times New Roman" w:hAnsi="Times New Roman" w:cs="Times New Roman"/>
                <w:szCs w:val="24"/>
              </w:rPr>
              <w:t>,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rPr>
          <w:trHeight w:val="99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представленных  муниципальными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служащими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01 сентября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8A49F7" w:rsidRPr="008A49F7" w:rsidTr="008A49F7">
        <w:trPr>
          <w:trHeight w:val="8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15 сентября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8A49F7" w:rsidRPr="008A49F7" w:rsidTr="008A49F7">
        <w:trPr>
          <w:trHeight w:val="5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Проведение в установленном законом порядке проверок: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и  другими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федеральными законами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основании поступившей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случаев несоблюдения муниципальными служащими,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8A49F7" w:rsidRPr="008A49F7" w:rsidTr="008A49F7">
        <w:trPr>
          <w:trHeight w:val="17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3.1.7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4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воспринимается  как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ind w:left="83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B02B21" w:rsidRPr="008A49F7" w:rsidTr="008A49F7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8A49F7" w:rsidRPr="008A49F7" w:rsidTr="008A49F7">
        <w:trPr>
          <w:trHeight w:val="9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2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2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4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3.2.4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</w:t>
            </w:r>
            <w:r w:rsidR="00F22FE6">
              <w:rPr>
                <w:rFonts w:ascii="Times New Roman" w:hAnsi="Times New Roman" w:cs="Times New Roman"/>
                <w:szCs w:val="24"/>
              </w:rPr>
              <w:t xml:space="preserve"> 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5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2024</w:t>
            </w:r>
            <w:r w:rsidR="00141DC3"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к  служебному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поведению  муниципальных служащих администрации Серебрянского сельского поселения Ленинградской области и урегулированию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деятельности комиссии по предупреждению и противодействию коррупции в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Серебрянского сельского поселения информации о деятельности комиссии по соблюдению требований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к  служебному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поведению  муниципальных служащих администрации Серебрянского сельского поселения Ленинградской области и урегулированию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rPr>
          <w:trHeight w:val="117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3.2.10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372A4A" w:rsidRPr="008A49F7" w:rsidTr="008A49F7">
        <w:trPr>
          <w:trHeight w:val="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A" w:rsidRPr="008A49F7" w:rsidRDefault="00372A4A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Антикоррупционное образование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bCs/>
                <w:szCs w:val="24"/>
              </w:rPr>
              <w:t xml:space="preserve">Обеспечение повышения квалификации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A49F7" w:rsidRPr="008A49F7" w:rsidTr="008A49F7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bCs/>
                <w:szCs w:val="24"/>
              </w:rPr>
              <w:t xml:space="preserve">Обеспечение повышения квалификации </w:t>
            </w:r>
            <w:r w:rsidRPr="008A49F7">
              <w:rPr>
                <w:rFonts w:ascii="Times New Roman" w:hAnsi="Times New Roman" w:cs="Times New Roman"/>
                <w:szCs w:val="24"/>
              </w:rPr>
              <w:t>муниципальных служащих администрации по антикоррупционной тематике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по формированию негативного отношения к получению подарков;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о порядке уведомления о получении подарка и его передачи;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– об увольнении в связи с утратой доверия;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по формированию отрицательного отношения к коррупции и т.д.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нарушений муниципальными служащими ограничений и запретов, требований о предотвращении или урег</w:t>
            </w:r>
            <w:r w:rsidR="006570C6">
              <w:rPr>
                <w:rFonts w:ascii="Times New Roman" w:hAnsi="Times New Roman" w:cs="Times New Roman"/>
                <w:szCs w:val="24"/>
                <w:lang w:bidi="ru-RU"/>
              </w:rPr>
              <w:t xml:space="preserve">улировании конфликта интересов.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Повышения уровня правосознания</w:t>
            </w:r>
            <w:r w:rsidR="006570C6">
              <w:rPr>
                <w:rFonts w:ascii="Times New Roman" w:hAnsi="Times New Roman" w:cs="Times New Roman"/>
                <w:szCs w:val="24"/>
                <w:lang w:bidi="ru-RU"/>
              </w:rPr>
              <w:t>.</w:t>
            </w:r>
          </w:p>
        </w:tc>
      </w:tr>
      <w:tr w:rsidR="00372A4A" w:rsidRPr="008A49F7" w:rsidTr="008A49F7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A" w:rsidRPr="008A49F7" w:rsidRDefault="00372A4A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Организация работы по противодействию коррупции в муниципальных учреждениях, муницип</w:t>
            </w:r>
            <w:r w:rsidR="008A49F7" w:rsidRPr="008A49F7">
              <w:rPr>
                <w:rFonts w:ascii="Times New Roman" w:hAnsi="Times New Roman" w:cs="Times New Roman"/>
                <w:b/>
                <w:szCs w:val="24"/>
              </w:rPr>
              <w:t xml:space="preserve">альных унитарных предприятиях, </w:t>
            </w:r>
            <w:r w:rsidRPr="008A49F7">
              <w:rPr>
                <w:rFonts w:ascii="Times New Roman" w:hAnsi="Times New Roman" w:cs="Times New Roman"/>
                <w:b/>
                <w:szCs w:val="24"/>
              </w:rPr>
              <w:t>подведомственных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6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квартал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141DC3" w:rsidRPr="008A49F7" w:rsidRDefault="00F22FE6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2024</w:t>
            </w:r>
            <w:r w:rsidR="00141DC3"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141DC3" w:rsidRPr="008A49F7">
              <w:rPr>
                <w:rFonts w:ascii="Times New Roman" w:hAnsi="Times New Roman" w:cs="Times New Roman"/>
                <w:szCs w:val="24"/>
                <w:lang w:val="en-US"/>
              </w:rPr>
              <w:t>год</w:t>
            </w:r>
            <w:proofErr w:type="spellEnd"/>
            <w:r w:rsidR="00141DC3" w:rsidRPr="008A49F7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Руководители подведомственных муниципальных учреждений, муниципальных унитарных предприятий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Повышение эффективности работы в сфере противодействия коррупции, предупреждение коррупционных правонарушений  </w:t>
            </w:r>
          </w:p>
        </w:tc>
      </w:tr>
      <w:tr w:rsidR="008A49F7" w:rsidRPr="008A49F7" w:rsidTr="008A49F7">
        <w:trPr>
          <w:trHeight w:val="14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Январь - апрель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6570C6">
        <w:trPr>
          <w:trHeight w:val="1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7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Серебрянского сельского поселения в информационно-телекоммуникационной сети «Интернет»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14 рабочих дней со дня истечения срока</w:t>
            </w:r>
            <w:r w:rsidR="006570C6">
              <w:rPr>
                <w:rFonts w:ascii="Times New Roman" w:hAnsi="Times New Roman" w:cs="Times New Roman"/>
                <w:szCs w:val="24"/>
              </w:rPr>
              <w:t>,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До 01 сентября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 xml:space="preserve">При наличии оснований / при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поступлении соответствующей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</w:t>
            </w:r>
            <w:r w:rsidR="006570C6">
              <w:rPr>
                <w:rFonts w:ascii="Times New Roman" w:hAnsi="Times New Roman" w:cs="Times New Roman"/>
                <w:szCs w:val="24"/>
              </w:rPr>
              <w:t xml:space="preserve">е случаев несоблюдения лицами, замещающими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5.7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Предупреждение коррупционных правонарушений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7" w:rsidRPr="008A49F7" w:rsidRDefault="00141DC3" w:rsidP="0065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</w:tc>
      </w:tr>
      <w:tr w:rsidR="005E2B6E" w:rsidRPr="008A49F7" w:rsidTr="006570C6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Обеспечение прозрачности деятельности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соответ</w:t>
            </w:r>
            <w:r w:rsidR="005E2B6E" w:rsidRPr="008A49F7">
              <w:rPr>
                <w:rFonts w:ascii="Times New Roman" w:hAnsi="Times New Roman" w:cs="Times New Roman"/>
                <w:szCs w:val="24"/>
              </w:rPr>
              <w:t xml:space="preserve">ствия раздела «Противодействие </w:t>
            </w:r>
            <w:r w:rsidRPr="008A49F7">
              <w:rPr>
                <w:rFonts w:ascii="Times New Roman" w:hAnsi="Times New Roman" w:cs="Times New Roman"/>
                <w:szCs w:val="24"/>
              </w:rPr>
              <w:t>коррупции» официального сайта администрации Серебрянского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текущего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Поддержание в актуальном состоянии информации в сфере противодействия коррупции</w:t>
            </w:r>
          </w:p>
        </w:tc>
      </w:tr>
      <w:tr w:rsidR="008A49F7" w:rsidRPr="008A49F7" w:rsidTr="008A49F7">
        <w:trPr>
          <w:trHeight w:val="1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Серебрянского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текущего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Совершенствование содержания официального сайта администрации Серебрянского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обеспечение возможности наглядного и быстрого доступа к плану противодействия коррупции в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Лужского муниципального района (размещение ссылки на указанный план не только в разделе «Принятые правовые акты», но и в разделе «Противодействие коррупции»);</w:t>
            </w:r>
          </w:p>
          <w:p w:rsidR="008A49F7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применение иных средств и способов повышения прозрачности сайта.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 xml:space="preserve">В течение текущего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5E2B6E" w:rsidRPr="008A49F7" w:rsidTr="008A49F7">
        <w:trPr>
          <w:trHeight w:val="1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7. 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"/>
              <w:shd w:val="clear" w:color="auto" w:fill="FFFFFF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eastAsia="en-US"/>
              </w:rPr>
            </w:pPr>
            <w:r w:rsidRPr="008A49F7">
              <w:rPr>
                <w:color w:val="auto"/>
                <w:sz w:val="22"/>
                <w:szCs w:val="24"/>
                <w:lang w:eastAsia="en-US"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</w:t>
            </w:r>
            <w:proofErr w:type="gramStart"/>
            <w:r w:rsidRPr="008A49F7">
              <w:rPr>
                <w:color w:val="auto"/>
                <w:sz w:val="22"/>
                <w:szCs w:val="24"/>
                <w:lang w:eastAsia="en-US" w:bidi="ru-RU"/>
              </w:rPr>
              <w:t xml:space="preserve">ФЗ </w:t>
            </w:r>
            <w:r w:rsidRPr="008A49F7">
              <w:rPr>
                <w:rStyle w:val="apple-converted-space"/>
                <w:color w:val="auto"/>
                <w:sz w:val="22"/>
                <w:szCs w:val="24"/>
                <w:lang w:eastAsia="en-US"/>
              </w:rPr>
              <w:t> </w:t>
            </w:r>
            <w:r w:rsidRPr="008A49F7">
              <w:rPr>
                <w:color w:val="auto"/>
                <w:sz w:val="22"/>
                <w:szCs w:val="24"/>
                <w:lang w:eastAsia="en-US"/>
              </w:rPr>
              <w:t>«</w:t>
            </w:r>
            <w:proofErr w:type="gramEnd"/>
            <w:r w:rsidRPr="008A49F7">
              <w:rPr>
                <w:color w:val="auto"/>
                <w:sz w:val="22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текущего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"/>
              <w:shd w:val="clear" w:color="auto" w:fill="FFFFFF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eastAsia="en-US" w:bidi="ru-RU"/>
              </w:rPr>
            </w:pPr>
            <w:r w:rsidRPr="008A49F7">
              <w:rPr>
                <w:color w:val="auto"/>
                <w:sz w:val="22"/>
                <w:szCs w:val="24"/>
                <w:lang w:eastAsia="en-US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1"/>
              <w:shd w:val="clear" w:color="auto" w:fill="auto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bidi="ru-RU"/>
              </w:rPr>
            </w:pPr>
            <w:r w:rsidRPr="008A49F7">
              <w:rPr>
                <w:sz w:val="22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в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5E2B6E" w:rsidRPr="008A49F7" w:rsidTr="008A49F7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8. Антикоррупционная пропаганда и просвещение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текущего </w:t>
            </w:r>
            <w:r w:rsidR="00F22FE6">
              <w:rPr>
                <w:rFonts w:ascii="Times New Roman" w:hAnsi="Times New Roman" w:cs="Times New Roman"/>
                <w:szCs w:val="24"/>
              </w:rPr>
              <w:t>2024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6570C6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Оперативное реагирование на </w:t>
            </w:r>
            <w:proofErr w:type="gramStart"/>
            <w:r w:rsidR="00851DF1" w:rsidRPr="008A49F7">
              <w:rPr>
                <w:rFonts w:ascii="Times New Roman" w:hAnsi="Times New Roman" w:cs="Times New Roman"/>
                <w:szCs w:val="24"/>
              </w:rPr>
              <w:t>сообщения  о</w:t>
            </w:r>
            <w:proofErr w:type="gramEnd"/>
            <w:r w:rsidR="00851DF1" w:rsidRPr="008A49F7">
              <w:rPr>
                <w:rFonts w:ascii="Times New Roman" w:hAnsi="Times New Roman" w:cs="Times New Roman"/>
                <w:szCs w:val="24"/>
              </w:rPr>
              <w:t xml:space="preserve"> коррупционных проявлениях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8.2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6570C6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</w:tbl>
    <w:p w:rsidR="0094071A" w:rsidRPr="00851DF1" w:rsidRDefault="0094071A" w:rsidP="006570C6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sectPr w:rsidR="0094071A" w:rsidRPr="00851DF1" w:rsidSect="0094071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 w15:restartNumberingAfterBreak="0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 w15:restartNumberingAfterBreak="0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4D2B02"/>
    <w:multiLevelType w:val="hybridMultilevel"/>
    <w:tmpl w:val="705630F0"/>
    <w:lvl w:ilvl="0" w:tplc="3C98EE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69220637"/>
    <w:multiLevelType w:val="multilevel"/>
    <w:tmpl w:val="818C37D4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9"/>
  </w:num>
  <w:num w:numId="9">
    <w:abstractNumId w:val="10"/>
  </w:num>
  <w:num w:numId="10">
    <w:abstractNumId w:val="14"/>
  </w:num>
  <w:num w:numId="11">
    <w:abstractNumId w:val="21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23"/>
  </w:num>
  <w:num w:numId="21">
    <w:abstractNumId w:val="8"/>
  </w:num>
  <w:num w:numId="22">
    <w:abstractNumId w:val="26"/>
  </w:num>
  <w:num w:numId="23">
    <w:abstractNumId w:val="12"/>
  </w:num>
  <w:num w:numId="24">
    <w:abstractNumId w:val="22"/>
  </w:num>
  <w:num w:numId="25">
    <w:abstractNumId w:val="25"/>
  </w:num>
  <w:num w:numId="26">
    <w:abstractNumId w:val="19"/>
  </w:num>
  <w:num w:numId="27">
    <w:abstractNumId w:val="0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A58BC"/>
    <w:rsid w:val="000B5540"/>
    <w:rsid w:val="000D3854"/>
    <w:rsid w:val="000D3D37"/>
    <w:rsid w:val="000E3B20"/>
    <w:rsid w:val="000E3C90"/>
    <w:rsid w:val="000F63E1"/>
    <w:rsid w:val="00105DFF"/>
    <w:rsid w:val="00141DC3"/>
    <w:rsid w:val="00156FB2"/>
    <w:rsid w:val="00197B0A"/>
    <w:rsid w:val="001C736D"/>
    <w:rsid w:val="001E42FE"/>
    <w:rsid w:val="001E6C17"/>
    <w:rsid w:val="00222470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2A4A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3612B"/>
    <w:rsid w:val="00447E31"/>
    <w:rsid w:val="0045072C"/>
    <w:rsid w:val="004537F8"/>
    <w:rsid w:val="004A1099"/>
    <w:rsid w:val="004C5F5E"/>
    <w:rsid w:val="004C7734"/>
    <w:rsid w:val="004D02F2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229CC"/>
    <w:rsid w:val="00586FA8"/>
    <w:rsid w:val="0059119B"/>
    <w:rsid w:val="00593D2B"/>
    <w:rsid w:val="005C177C"/>
    <w:rsid w:val="005C5A6F"/>
    <w:rsid w:val="005E12A5"/>
    <w:rsid w:val="005E2B6E"/>
    <w:rsid w:val="005E7A56"/>
    <w:rsid w:val="00632911"/>
    <w:rsid w:val="006332C3"/>
    <w:rsid w:val="00634D1C"/>
    <w:rsid w:val="006570C6"/>
    <w:rsid w:val="00687AB9"/>
    <w:rsid w:val="00692DA3"/>
    <w:rsid w:val="006A53E2"/>
    <w:rsid w:val="006C5175"/>
    <w:rsid w:val="006C7491"/>
    <w:rsid w:val="00707B1F"/>
    <w:rsid w:val="00721E75"/>
    <w:rsid w:val="00740812"/>
    <w:rsid w:val="00740CAD"/>
    <w:rsid w:val="00750411"/>
    <w:rsid w:val="007747AF"/>
    <w:rsid w:val="007A338F"/>
    <w:rsid w:val="007D5CB5"/>
    <w:rsid w:val="007E7CCB"/>
    <w:rsid w:val="007F66E5"/>
    <w:rsid w:val="00804AE4"/>
    <w:rsid w:val="008155EE"/>
    <w:rsid w:val="00833756"/>
    <w:rsid w:val="008347FF"/>
    <w:rsid w:val="00837C8C"/>
    <w:rsid w:val="008421BC"/>
    <w:rsid w:val="0084586B"/>
    <w:rsid w:val="008512A9"/>
    <w:rsid w:val="00851DF1"/>
    <w:rsid w:val="00854A5E"/>
    <w:rsid w:val="00872018"/>
    <w:rsid w:val="00885150"/>
    <w:rsid w:val="00896068"/>
    <w:rsid w:val="008A38C2"/>
    <w:rsid w:val="008A49F7"/>
    <w:rsid w:val="008C6A9B"/>
    <w:rsid w:val="008E4EFE"/>
    <w:rsid w:val="008F2EBB"/>
    <w:rsid w:val="009074BF"/>
    <w:rsid w:val="00925C44"/>
    <w:rsid w:val="0094071A"/>
    <w:rsid w:val="00947615"/>
    <w:rsid w:val="0095142B"/>
    <w:rsid w:val="00955AC3"/>
    <w:rsid w:val="009648C5"/>
    <w:rsid w:val="00964CCE"/>
    <w:rsid w:val="009827A5"/>
    <w:rsid w:val="00997B60"/>
    <w:rsid w:val="009A0F9E"/>
    <w:rsid w:val="009C290D"/>
    <w:rsid w:val="009E0CF5"/>
    <w:rsid w:val="00A05DC5"/>
    <w:rsid w:val="00A16243"/>
    <w:rsid w:val="00A20EBE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02B21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D6704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E0B1E"/>
    <w:rsid w:val="00DF4F00"/>
    <w:rsid w:val="00DF67B6"/>
    <w:rsid w:val="00E17372"/>
    <w:rsid w:val="00E302EF"/>
    <w:rsid w:val="00E527EC"/>
    <w:rsid w:val="00E54622"/>
    <w:rsid w:val="00E725C9"/>
    <w:rsid w:val="00E73A14"/>
    <w:rsid w:val="00E8329C"/>
    <w:rsid w:val="00E86650"/>
    <w:rsid w:val="00EA1996"/>
    <w:rsid w:val="00EA21C5"/>
    <w:rsid w:val="00EA26F2"/>
    <w:rsid w:val="00EE2988"/>
    <w:rsid w:val="00EE6761"/>
    <w:rsid w:val="00F0276D"/>
    <w:rsid w:val="00F17368"/>
    <w:rsid w:val="00F22FE6"/>
    <w:rsid w:val="00F25E15"/>
    <w:rsid w:val="00F32642"/>
    <w:rsid w:val="00F554DE"/>
    <w:rsid w:val="00F55F87"/>
    <w:rsid w:val="00F614AA"/>
    <w:rsid w:val="00F675D5"/>
    <w:rsid w:val="00FC1B71"/>
    <w:rsid w:val="00FC292F"/>
    <w:rsid w:val="00FC5EB7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327C-5C1A-4597-A2D2-0CD0270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B033-D6A0-4BC8-97EB-9F1DB8F2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Т.В.</dc:creator>
  <cp:keywords/>
  <dc:description/>
  <cp:lastModifiedBy>Microsoft Office</cp:lastModifiedBy>
  <cp:revision>3</cp:revision>
  <cp:lastPrinted>2020-11-23T08:58:00Z</cp:lastPrinted>
  <dcterms:created xsi:type="dcterms:W3CDTF">2023-12-13T07:39:00Z</dcterms:created>
  <dcterms:modified xsi:type="dcterms:W3CDTF">2023-12-14T13:32:00Z</dcterms:modified>
</cp:coreProperties>
</file>