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AA" w:rsidRPr="0005690F" w:rsidRDefault="00C247AA" w:rsidP="0005690F">
      <w:pPr>
        <w:jc w:val="center"/>
      </w:pPr>
      <w:r w:rsidRPr="0005690F">
        <w:rPr>
          <w:noProof/>
        </w:rPr>
        <w:drawing>
          <wp:inline distT="0" distB="0" distL="0" distR="0" wp14:anchorId="7DE91E9C" wp14:editId="734848F8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Pr="0005690F" w:rsidRDefault="00C247AA" w:rsidP="0005690F">
      <w:pPr>
        <w:jc w:val="center"/>
        <w:rPr>
          <w:b/>
        </w:rPr>
      </w:pPr>
      <w:r w:rsidRPr="0005690F">
        <w:rPr>
          <w:b/>
        </w:rPr>
        <w:t>ЛЕНИНГРАДСКАЯ ОБЛАСТЬ</w:t>
      </w:r>
    </w:p>
    <w:p w:rsidR="00C247AA" w:rsidRPr="0005690F" w:rsidRDefault="00C247AA" w:rsidP="0005690F">
      <w:pPr>
        <w:jc w:val="center"/>
        <w:rPr>
          <w:b/>
        </w:rPr>
      </w:pPr>
      <w:r w:rsidRPr="0005690F">
        <w:rPr>
          <w:b/>
        </w:rPr>
        <w:t>ЛУЖСКИЙ МУНИЦИПАЛЬНЫЙ РАЙОН</w:t>
      </w:r>
    </w:p>
    <w:p w:rsidR="00C247AA" w:rsidRPr="0005690F" w:rsidRDefault="00C247AA" w:rsidP="0005690F">
      <w:pPr>
        <w:jc w:val="center"/>
        <w:rPr>
          <w:b/>
        </w:rPr>
      </w:pPr>
      <w:r w:rsidRPr="0005690F">
        <w:rPr>
          <w:b/>
        </w:rPr>
        <w:t xml:space="preserve">АДМИНИСТРАЦИЯ </w:t>
      </w:r>
    </w:p>
    <w:p w:rsidR="00C247AA" w:rsidRPr="0005690F" w:rsidRDefault="00C247AA" w:rsidP="0005690F">
      <w:pPr>
        <w:jc w:val="center"/>
        <w:rPr>
          <w:b/>
        </w:rPr>
      </w:pPr>
      <w:r w:rsidRPr="0005690F">
        <w:rPr>
          <w:b/>
        </w:rPr>
        <w:t>СЕРЕБРЯНСКОГО СЕЛЬСКОГО ПОСЕЛЕНИЯ</w:t>
      </w:r>
    </w:p>
    <w:p w:rsidR="00C247AA" w:rsidRPr="0005690F" w:rsidRDefault="00C247AA" w:rsidP="0005690F"/>
    <w:p w:rsidR="00C247AA" w:rsidRPr="0005690F" w:rsidRDefault="00C247AA" w:rsidP="0005690F">
      <w:pPr>
        <w:jc w:val="center"/>
        <w:rPr>
          <w:b/>
        </w:rPr>
      </w:pPr>
      <w:r w:rsidRPr="0005690F">
        <w:rPr>
          <w:b/>
        </w:rPr>
        <w:t>ПОСТАНОВЛЕНИЕ</w:t>
      </w:r>
    </w:p>
    <w:p w:rsidR="00C247AA" w:rsidRPr="0005690F" w:rsidRDefault="00C247AA" w:rsidP="0005690F">
      <w:pPr>
        <w:jc w:val="center"/>
      </w:pPr>
    </w:p>
    <w:p w:rsidR="00C247AA" w:rsidRPr="0005690F" w:rsidRDefault="00C247AA" w:rsidP="0005690F">
      <w:pPr>
        <w:jc w:val="both"/>
        <w:rPr>
          <w:b/>
        </w:rPr>
      </w:pPr>
      <w:r w:rsidRPr="0005690F">
        <w:rPr>
          <w:b/>
        </w:rPr>
        <w:t>От 09 ноября 2022 года                №</w:t>
      </w:r>
      <w:r w:rsidR="00AC77D8">
        <w:rPr>
          <w:b/>
        </w:rPr>
        <w:t xml:space="preserve"> 178</w:t>
      </w:r>
    </w:p>
    <w:p w:rsidR="00C247AA" w:rsidRPr="0005690F" w:rsidRDefault="00C247AA" w:rsidP="0005690F">
      <w:pPr>
        <w:jc w:val="both"/>
        <w:rPr>
          <w:b/>
        </w:rPr>
      </w:pPr>
    </w:p>
    <w:p w:rsidR="00C247AA" w:rsidRPr="0005690F" w:rsidRDefault="00C247AA" w:rsidP="0005690F">
      <w:pPr>
        <w:jc w:val="center"/>
        <w:rPr>
          <w:b/>
        </w:rPr>
      </w:pPr>
      <w:r w:rsidRPr="0005690F">
        <w:rPr>
          <w:b/>
          <w:bCs/>
          <w:bdr w:val="none" w:sz="0" w:space="0" w:color="auto" w:frame="1"/>
          <w:shd w:val="clear" w:color="auto" w:fill="FFFFFF"/>
        </w:rPr>
        <w:t>Об утверждении программы</w:t>
      </w:r>
    </w:p>
    <w:p w:rsidR="00C247AA" w:rsidRPr="0005690F" w:rsidRDefault="00C247AA" w:rsidP="0005690F">
      <w:pPr>
        <w:suppressAutoHyphens/>
        <w:jc w:val="center"/>
        <w:rPr>
          <w:b/>
          <w:bCs/>
          <w:color w:val="000000"/>
        </w:rPr>
      </w:pPr>
      <w:r w:rsidRPr="0005690F">
        <w:rPr>
          <w:b/>
        </w:rPr>
        <w:t>профилактики рисков причинения вреда (ущерба) охраняемым законом ценностям в сфере муниципального жилищного контроля на 2023 год</w:t>
      </w:r>
      <w:r w:rsidRPr="0005690F">
        <w:rPr>
          <w:b/>
          <w:bCs/>
          <w:color w:val="000000"/>
        </w:rPr>
        <w:t xml:space="preserve"> на территории Серебрянского сельского поселения Лужского муниципального района Ленинградской области</w:t>
      </w:r>
    </w:p>
    <w:p w:rsidR="00C247AA" w:rsidRPr="0005690F" w:rsidRDefault="00C247AA" w:rsidP="0005690F">
      <w:pPr>
        <w:jc w:val="center"/>
        <w:rPr>
          <w:b/>
          <w:bCs/>
        </w:rPr>
      </w:pPr>
    </w:p>
    <w:p w:rsidR="00C247AA" w:rsidRPr="0005690F" w:rsidRDefault="00C247AA" w:rsidP="0005690F">
      <w:pPr>
        <w:ind w:firstLine="567"/>
        <w:jc w:val="both"/>
        <w:rPr>
          <w:bdr w:val="none" w:sz="0" w:space="0" w:color="auto" w:frame="1"/>
          <w:shd w:val="clear" w:color="auto" w:fill="FFFFFF"/>
        </w:rPr>
      </w:pPr>
      <w:r w:rsidRPr="0005690F">
        <w:rPr>
          <w:bdr w:val="none" w:sz="0" w:space="0" w:color="auto" w:frame="1"/>
          <w:shd w:val="clear" w:color="auto" w:fill="FFFFFF"/>
        </w:rPr>
        <w:t xml:space="preserve">В 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руководствуясь Уставом муниципального образования Серебрянское сельское поселение, администрация Серебрянского сельского поселения Лужского муниципального района </w:t>
      </w:r>
    </w:p>
    <w:p w:rsidR="00C247AA" w:rsidRPr="0005690F" w:rsidRDefault="00C247AA" w:rsidP="0005690F">
      <w:pPr>
        <w:ind w:firstLine="567"/>
        <w:jc w:val="both"/>
        <w:rPr>
          <w:bdr w:val="none" w:sz="0" w:space="0" w:color="auto" w:frame="1"/>
          <w:shd w:val="clear" w:color="auto" w:fill="FFFFFF"/>
        </w:rPr>
      </w:pPr>
    </w:p>
    <w:p w:rsidR="00C247AA" w:rsidRPr="0005690F" w:rsidRDefault="00C247AA" w:rsidP="0005690F">
      <w:pPr>
        <w:ind w:firstLine="567"/>
        <w:jc w:val="center"/>
        <w:rPr>
          <w:bdr w:val="none" w:sz="0" w:space="0" w:color="auto" w:frame="1"/>
          <w:shd w:val="clear" w:color="auto" w:fill="FFFFFF"/>
        </w:rPr>
      </w:pPr>
      <w:r w:rsidRPr="0005690F">
        <w:rPr>
          <w:b/>
          <w:bdr w:val="none" w:sz="0" w:space="0" w:color="auto" w:frame="1"/>
          <w:shd w:val="clear" w:color="auto" w:fill="FFFFFF"/>
        </w:rPr>
        <w:t>ПОСТАНОВЛЯЕТ</w:t>
      </w:r>
      <w:r w:rsidRPr="0005690F">
        <w:rPr>
          <w:bdr w:val="none" w:sz="0" w:space="0" w:color="auto" w:frame="1"/>
          <w:shd w:val="clear" w:color="auto" w:fill="FFFFFF"/>
        </w:rPr>
        <w:t>:</w:t>
      </w:r>
    </w:p>
    <w:p w:rsidR="00C247AA" w:rsidRPr="0005690F" w:rsidRDefault="00C247AA" w:rsidP="0005690F">
      <w:pPr>
        <w:ind w:firstLine="567"/>
        <w:jc w:val="both"/>
        <w:rPr>
          <w:bdr w:val="none" w:sz="0" w:space="0" w:color="auto" w:frame="1"/>
          <w:shd w:val="clear" w:color="auto" w:fill="FFFFFF"/>
        </w:rPr>
      </w:pPr>
    </w:p>
    <w:p w:rsidR="00C247AA" w:rsidRPr="0005690F" w:rsidRDefault="00C247AA" w:rsidP="0005690F">
      <w:pPr>
        <w:pStyle w:val="a4"/>
        <w:numPr>
          <w:ilvl w:val="0"/>
          <w:numId w:val="13"/>
        </w:numPr>
        <w:suppressAutoHyphens/>
        <w:jc w:val="both"/>
        <w:rPr>
          <w:b/>
          <w:bCs/>
          <w:color w:val="000000"/>
        </w:rPr>
      </w:pPr>
      <w:r w:rsidRPr="0005690F">
        <w:rPr>
          <w:bdr w:val="none" w:sz="0" w:space="0" w:color="auto" w:frame="1"/>
        </w:rPr>
        <w:t xml:space="preserve">Утвердить Программу </w:t>
      </w:r>
      <w:r w:rsidRPr="0005690F">
        <w:t>профилактики рисков причинения вреда (ущерба) охраняемым законом ценностям в сфере муниципального жилищного контроля на 2023 год</w:t>
      </w:r>
      <w:r w:rsidRPr="0005690F">
        <w:rPr>
          <w:bCs/>
          <w:color w:val="000000"/>
        </w:rPr>
        <w:t xml:space="preserve"> на территории Серебрянского сельского поселения Лужского муниципального района Ленинградской области</w:t>
      </w:r>
      <w:r w:rsidRPr="0005690F">
        <w:rPr>
          <w:bCs/>
          <w:color w:val="000000"/>
        </w:rPr>
        <w:t xml:space="preserve"> </w:t>
      </w:r>
      <w:r w:rsidRPr="0005690F">
        <w:rPr>
          <w:bdr w:val="none" w:sz="0" w:space="0" w:color="auto" w:frame="1"/>
        </w:rPr>
        <w:t>(Приложение).</w:t>
      </w:r>
    </w:p>
    <w:p w:rsidR="00C247AA" w:rsidRPr="0005690F" w:rsidRDefault="00C247AA" w:rsidP="0005690F">
      <w:pPr>
        <w:pStyle w:val="a4"/>
        <w:numPr>
          <w:ilvl w:val="0"/>
          <w:numId w:val="13"/>
        </w:numPr>
        <w:jc w:val="both"/>
        <w:rPr>
          <w:bdr w:val="none" w:sz="0" w:space="0" w:color="auto" w:frame="1"/>
        </w:rPr>
      </w:pPr>
      <w:r w:rsidRPr="0005690F">
        <w:rPr>
          <w:bdr w:val="none" w:sz="0" w:space="0" w:color="auto" w:frame="1"/>
        </w:rPr>
        <w:t>Опубликовать настоящее постановление на официальном сайте администрации Серебрянского сельского поселения</w:t>
      </w:r>
      <w:r w:rsidR="00E05D5C">
        <w:rPr>
          <w:bdr w:val="none" w:sz="0" w:space="0" w:color="auto" w:frame="1"/>
        </w:rPr>
        <w:t>.</w:t>
      </w:r>
      <w:bookmarkStart w:id="0" w:name="_GoBack"/>
      <w:bookmarkEnd w:id="0"/>
      <w:r w:rsidRPr="0005690F">
        <w:rPr>
          <w:bdr w:val="none" w:sz="0" w:space="0" w:color="auto" w:frame="1"/>
        </w:rPr>
        <w:t> </w:t>
      </w:r>
    </w:p>
    <w:p w:rsidR="00C247AA" w:rsidRPr="0005690F" w:rsidRDefault="00C247AA" w:rsidP="0005690F">
      <w:pPr>
        <w:pStyle w:val="a4"/>
        <w:numPr>
          <w:ilvl w:val="0"/>
          <w:numId w:val="13"/>
        </w:numPr>
        <w:jc w:val="both"/>
        <w:rPr>
          <w:bCs/>
        </w:rPr>
      </w:pPr>
      <w:r w:rsidRPr="0005690F">
        <w:rPr>
          <w:bdr w:val="none" w:sz="0" w:space="0" w:color="auto" w:frame="1"/>
        </w:rPr>
        <w:t>Настоящее постановление вступает в силу после его официального опубликования.</w:t>
      </w:r>
    </w:p>
    <w:p w:rsidR="00C247AA" w:rsidRPr="0005690F" w:rsidRDefault="00C247AA" w:rsidP="0005690F">
      <w:pPr>
        <w:jc w:val="both"/>
        <w:rPr>
          <w:bCs/>
        </w:rPr>
      </w:pPr>
    </w:p>
    <w:p w:rsidR="00C247AA" w:rsidRPr="0005690F" w:rsidRDefault="00C247AA" w:rsidP="0005690F">
      <w:pPr>
        <w:jc w:val="both"/>
        <w:rPr>
          <w:bCs/>
        </w:rPr>
      </w:pPr>
    </w:p>
    <w:p w:rsidR="00C247AA" w:rsidRPr="0005690F" w:rsidRDefault="00C247AA" w:rsidP="0005690F">
      <w:pPr>
        <w:jc w:val="both"/>
        <w:rPr>
          <w:bCs/>
        </w:rPr>
      </w:pPr>
      <w:r w:rsidRPr="0005690F">
        <w:rPr>
          <w:bCs/>
        </w:rPr>
        <w:t>Глава администрации</w:t>
      </w:r>
    </w:p>
    <w:p w:rsidR="00C247AA" w:rsidRPr="0005690F" w:rsidRDefault="00C247AA" w:rsidP="0005690F">
      <w:pPr>
        <w:jc w:val="both"/>
        <w:rPr>
          <w:bCs/>
        </w:rPr>
      </w:pPr>
      <w:r w:rsidRPr="0005690F">
        <w:rPr>
          <w:bCs/>
        </w:rPr>
        <w:t xml:space="preserve">Серебрянского сельского поселения                                                             </w:t>
      </w:r>
      <w:r w:rsidRPr="0005690F">
        <w:rPr>
          <w:bCs/>
        </w:rPr>
        <w:t xml:space="preserve">   </w:t>
      </w:r>
      <w:r w:rsidRPr="0005690F">
        <w:rPr>
          <w:bCs/>
        </w:rPr>
        <w:t xml:space="preserve">   </w:t>
      </w:r>
      <w:r w:rsidRPr="0005690F">
        <w:rPr>
          <w:bCs/>
        </w:rPr>
        <w:t xml:space="preserve"> </w:t>
      </w:r>
      <w:r w:rsidRPr="0005690F">
        <w:rPr>
          <w:bCs/>
        </w:rPr>
        <w:t xml:space="preserve">               С.А. Пальок</w:t>
      </w:r>
    </w:p>
    <w:p w:rsidR="00C247AA" w:rsidRPr="0005690F" w:rsidRDefault="00C247AA" w:rsidP="0005690F">
      <w:pPr>
        <w:ind w:firstLine="567"/>
        <w:jc w:val="both"/>
        <w:rPr>
          <w:bdr w:val="none" w:sz="0" w:space="0" w:color="auto" w:frame="1"/>
          <w:shd w:val="clear" w:color="auto" w:fill="FFFFFF"/>
        </w:rPr>
      </w:pPr>
    </w:p>
    <w:p w:rsidR="00C247AA" w:rsidRPr="0005690F" w:rsidRDefault="00C247AA" w:rsidP="0005690F">
      <w:pPr>
        <w:ind w:firstLine="567"/>
        <w:jc w:val="both"/>
        <w:rPr>
          <w:b/>
          <w:bCs/>
        </w:rPr>
      </w:pPr>
    </w:p>
    <w:p w:rsidR="00C247AA" w:rsidRPr="0005690F" w:rsidRDefault="00C247AA" w:rsidP="0005690F">
      <w:pPr>
        <w:jc w:val="center"/>
        <w:rPr>
          <w:b/>
          <w:bCs/>
        </w:rPr>
      </w:pPr>
    </w:p>
    <w:p w:rsidR="00C247AA" w:rsidRPr="0005690F" w:rsidRDefault="00C247AA" w:rsidP="0005690F">
      <w:pPr>
        <w:jc w:val="center"/>
        <w:rPr>
          <w:b/>
        </w:rPr>
      </w:pPr>
    </w:p>
    <w:p w:rsidR="00C247AA" w:rsidRPr="0005690F" w:rsidRDefault="00C247AA" w:rsidP="0005690F">
      <w:pPr>
        <w:jc w:val="center"/>
        <w:rPr>
          <w:b/>
        </w:rPr>
      </w:pPr>
    </w:p>
    <w:p w:rsidR="00C247AA" w:rsidRPr="0005690F" w:rsidRDefault="00C247AA" w:rsidP="0005690F">
      <w:pPr>
        <w:jc w:val="center"/>
        <w:rPr>
          <w:b/>
        </w:rPr>
      </w:pPr>
    </w:p>
    <w:p w:rsidR="00C247AA" w:rsidRPr="0005690F" w:rsidRDefault="00C247AA" w:rsidP="0005690F">
      <w:pPr>
        <w:rPr>
          <w:b/>
        </w:rPr>
      </w:pPr>
    </w:p>
    <w:p w:rsidR="00C247AA" w:rsidRPr="0005690F" w:rsidRDefault="00C247AA" w:rsidP="0005690F">
      <w:pPr>
        <w:rPr>
          <w:b/>
        </w:rPr>
      </w:pPr>
    </w:p>
    <w:p w:rsidR="00C247AA" w:rsidRPr="0005690F" w:rsidRDefault="00C247AA" w:rsidP="0005690F">
      <w:pPr>
        <w:rPr>
          <w:b/>
        </w:rPr>
      </w:pPr>
    </w:p>
    <w:p w:rsidR="00C247AA" w:rsidRPr="0005690F" w:rsidRDefault="00C247AA" w:rsidP="0005690F">
      <w:pPr>
        <w:jc w:val="center"/>
        <w:rPr>
          <w:b/>
        </w:rPr>
      </w:pPr>
    </w:p>
    <w:p w:rsidR="00C247AA" w:rsidRPr="0005690F" w:rsidRDefault="00C247AA" w:rsidP="0005690F">
      <w:pPr>
        <w:jc w:val="center"/>
        <w:rPr>
          <w:b/>
        </w:rPr>
      </w:pPr>
    </w:p>
    <w:p w:rsidR="00C247AA" w:rsidRPr="0005690F" w:rsidRDefault="00C247AA" w:rsidP="0005690F">
      <w:pPr>
        <w:jc w:val="center"/>
        <w:rPr>
          <w:b/>
        </w:rPr>
      </w:pPr>
    </w:p>
    <w:p w:rsidR="00346E40" w:rsidRPr="0005690F" w:rsidRDefault="00346E40" w:rsidP="0005690F">
      <w:pPr>
        <w:shd w:val="clear" w:color="auto" w:fill="FFFFFF"/>
        <w:ind w:left="6237"/>
        <w:jc w:val="center"/>
      </w:pPr>
      <w:r w:rsidRPr="0005690F">
        <w:lastRenderedPageBreak/>
        <w:t>УТВЕРЖДАЮ</w:t>
      </w:r>
    </w:p>
    <w:p w:rsidR="00346E40" w:rsidRPr="0005690F" w:rsidRDefault="00346E40" w:rsidP="0005690F">
      <w:pPr>
        <w:shd w:val="clear" w:color="auto" w:fill="FFFFFF"/>
        <w:ind w:left="6237"/>
        <w:jc w:val="center"/>
      </w:pPr>
      <w:r w:rsidRPr="0005690F">
        <w:t>Глава администрации</w:t>
      </w:r>
    </w:p>
    <w:p w:rsidR="00346E40" w:rsidRPr="0005690F" w:rsidRDefault="00154A30" w:rsidP="0005690F">
      <w:pPr>
        <w:shd w:val="clear" w:color="auto" w:fill="FFFFFF"/>
        <w:ind w:left="6237"/>
        <w:jc w:val="center"/>
      </w:pPr>
      <w:r w:rsidRPr="0005690F">
        <w:t>Серебрянского</w:t>
      </w:r>
      <w:r w:rsidR="00346E40" w:rsidRPr="0005690F">
        <w:t xml:space="preserve"> сельского поселения</w:t>
      </w:r>
    </w:p>
    <w:p w:rsidR="00346E40" w:rsidRPr="0005690F" w:rsidRDefault="00346E40" w:rsidP="0005690F">
      <w:pPr>
        <w:shd w:val="clear" w:color="auto" w:fill="FFFFFF"/>
        <w:ind w:left="6237"/>
        <w:jc w:val="center"/>
      </w:pPr>
      <w:r w:rsidRPr="0005690F">
        <w:t>Лужского муниципального района</w:t>
      </w:r>
    </w:p>
    <w:p w:rsidR="00346E40" w:rsidRPr="0005690F" w:rsidRDefault="00346E40" w:rsidP="0005690F">
      <w:pPr>
        <w:shd w:val="clear" w:color="auto" w:fill="FFFFFF"/>
        <w:ind w:left="6237"/>
        <w:jc w:val="center"/>
      </w:pPr>
      <w:r w:rsidRPr="0005690F">
        <w:t>Ленинградской области</w:t>
      </w:r>
    </w:p>
    <w:p w:rsidR="00346E40" w:rsidRPr="0005690F" w:rsidRDefault="00346E40" w:rsidP="0005690F">
      <w:pPr>
        <w:shd w:val="clear" w:color="auto" w:fill="FFFFFF"/>
        <w:ind w:left="6237"/>
        <w:jc w:val="center"/>
      </w:pPr>
      <w:r w:rsidRPr="0005690F">
        <w:t xml:space="preserve">_________________ </w:t>
      </w:r>
      <w:r w:rsidR="00154A30" w:rsidRPr="0005690F">
        <w:t>С.А. Пальок</w:t>
      </w:r>
    </w:p>
    <w:p w:rsidR="00346E40" w:rsidRPr="0005690F" w:rsidRDefault="00346E40" w:rsidP="0005690F">
      <w:pPr>
        <w:jc w:val="right"/>
        <w:rPr>
          <w:rStyle w:val="a8"/>
          <w:i w:val="0"/>
        </w:rPr>
      </w:pPr>
    </w:p>
    <w:p w:rsidR="00DA31FE" w:rsidRPr="0005690F" w:rsidRDefault="00DA31FE" w:rsidP="0005690F">
      <w:pPr>
        <w:jc w:val="center"/>
        <w:rPr>
          <w:b/>
        </w:rPr>
      </w:pPr>
      <w:r w:rsidRPr="0005690F">
        <w:rPr>
          <w:b/>
        </w:rPr>
        <w:t>ПРОГРАММА</w:t>
      </w:r>
      <w:r w:rsidR="00C8349A" w:rsidRPr="0005690F">
        <w:rPr>
          <w:b/>
        </w:rPr>
        <w:t xml:space="preserve"> </w:t>
      </w:r>
    </w:p>
    <w:p w:rsidR="00DA31FE" w:rsidRPr="0005690F" w:rsidRDefault="00DA31FE" w:rsidP="0005690F">
      <w:pPr>
        <w:suppressAutoHyphens/>
        <w:jc w:val="center"/>
        <w:rPr>
          <w:b/>
          <w:bCs/>
          <w:color w:val="000000"/>
        </w:rPr>
      </w:pPr>
      <w:r w:rsidRPr="0005690F">
        <w:rPr>
          <w:b/>
        </w:rPr>
        <w:t xml:space="preserve">профилактики рисков причинения вреда (ущерба) охраняемым законом ценностям в сфере </w:t>
      </w:r>
      <w:r w:rsidR="007C5909" w:rsidRPr="0005690F">
        <w:rPr>
          <w:b/>
        </w:rPr>
        <w:t>муниципально</w:t>
      </w:r>
      <w:r w:rsidRPr="0005690F">
        <w:rPr>
          <w:b/>
        </w:rPr>
        <w:t>го</w:t>
      </w:r>
      <w:r w:rsidR="007C5909" w:rsidRPr="0005690F">
        <w:rPr>
          <w:b/>
        </w:rPr>
        <w:t xml:space="preserve"> жилищно</w:t>
      </w:r>
      <w:r w:rsidRPr="0005690F">
        <w:rPr>
          <w:b/>
        </w:rPr>
        <w:t>го</w:t>
      </w:r>
      <w:r w:rsidR="007C5909" w:rsidRPr="0005690F">
        <w:rPr>
          <w:b/>
        </w:rPr>
        <w:t xml:space="preserve"> контрол</w:t>
      </w:r>
      <w:r w:rsidRPr="0005690F">
        <w:rPr>
          <w:b/>
        </w:rPr>
        <w:t>я</w:t>
      </w:r>
      <w:r w:rsidR="007422F9" w:rsidRPr="0005690F">
        <w:rPr>
          <w:b/>
        </w:rPr>
        <w:t xml:space="preserve"> на 202</w:t>
      </w:r>
      <w:r w:rsidR="009765FC" w:rsidRPr="0005690F">
        <w:rPr>
          <w:b/>
        </w:rPr>
        <w:t>3</w:t>
      </w:r>
      <w:r w:rsidR="007422F9" w:rsidRPr="0005690F">
        <w:rPr>
          <w:b/>
        </w:rPr>
        <w:t xml:space="preserve"> год</w:t>
      </w:r>
      <w:r w:rsidRPr="0005690F">
        <w:rPr>
          <w:b/>
          <w:bCs/>
          <w:color w:val="000000"/>
        </w:rPr>
        <w:t xml:space="preserve"> на территории </w:t>
      </w:r>
      <w:r w:rsidR="00154A30" w:rsidRPr="0005690F">
        <w:rPr>
          <w:b/>
          <w:bCs/>
          <w:color w:val="000000"/>
        </w:rPr>
        <w:t>Серебрянского</w:t>
      </w:r>
      <w:r w:rsidRPr="0005690F">
        <w:rPr>
          <w:b/>
          <w:bCs/>
          <w:color w:val="000000"/>
        </w:rPr>
        <w:t xml:space="preserve"> сельского поселения Лужского муниципального района Ленинградской области</w:t>
      </w:r>
    </w:p>
    <w:p w:rsidR="00C247AA" w:rsidRPr="0005690F" w:rsidRDefault="00C247AA" w:rsidP="0005690F">
      <w:pPr>
        <w:ind w:firstLine="225"/>
        <w:jc w:val="center"/>
        <w:rPr>
          <w:b/>
          <w:color w:val="000000"/>
        </w:rPr>
      </w:pPr>
    </w:p>
    <w:p w:rsidR="00C247AA" w:rsidRPr="0005690F" w:rsidRDefault="00C247AA" w:rsidP="0005690F">
      <w:pPr>
        <w:pStyle w:val="a4"/>
        <w:numPr>
          <w:ilvl w:val="0"/>
          <w:numId w:val="15"/>
        </w:numPr>
        <w:jc w:val="center"/>
        <w:rPr>
          <w:color w:val="000000"/>
        </w:rPr>
      </w:pPr>
      <w:r w:rsidRPr="0005690F">
        <w:rPr>
          <w:b/>
          <w:color w:val="000000"/>
        </w:rPr>
        <w:t>Об</w:t>
      </w:r>
      <w:r w:rsidRPr="0005690F">
        <w:rPr>
          <w:b/>
          <w:bCs/>
          <w:color w:val="000000"/>
        </w:rPr>
        <w:t>щие положения</w:t>
      </w:r>
    </w:p>
    <w:p w:rsidR="00C247AA" w:rsidRPr="0005690F" w:rsidRDefault="00C247AA" w:rsidP="0005690F">
      <w:pPr>
        <w:ind w:firstLine="225"/>
        <w:jc w:val="both"/>
        <w:rPr>
          <w:color w:val="000000"/>
        </w:rPr>
      </w:pPr>
    </w:p>
    <w:p w:rsidR="00C247AA" w:rsidRPr="0005690F" w:rsidRDefault="00C247AA" w:rsidP="0005690F">
      <w:pPr>
        <w:suppressAutoHyphens/>
        <w:jc w:val="both"/>
        <w:rPr>
          <w:bCs/>
          <w:color w:val="000000"/>
        </w:rPr>
      </w:pPr>
      <w:r w:rsidRPr="0005690F">
        <w:rPr>
          <w:color w:val="000000"/>
        </w:rPr>
        <w:t xml:space="preserve"> </w:t>
      </w:r>
      <w:r w:rsidRPr="0005690F">
        <w:rPr>
          <w:color w:val="000000"/>
        </w:rPr>
        <w:t xml:space="preserve">Настоящая Программа </w:t>
      </w:r>
      <w:r w:rsidRPr="0005690F">
        <w:t>профилактики рисков причинения вреда (ущерба) охраняемым законом ценностям в сфере муниципального жилищного контроля на 2023 год</w:t>
      </w:r>
      <w:r w:rsidRPr="0005690F">
        <w:rPr>
          <w:bCs/>
          <w:color w:val="000000"/>
        </w:rPr>
        <w:t xml:space="preserve"> на территории Серебрянского сельского поселения Лужского муниципального района Ленинградской области</w:t>
      </w:r>
      <w:r w:rsidRPr="0005690F">
        <w:rPr>
          <w:bCs/>
          <w:color w:val="000000"/>
        </w:rPr>
        <w:t xml:space="preserve"> </w:t>
      </w:r>
      <w:r w:rsidRPr="0005690F">
        <w:rPr>
          <w:color w:val="000000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</w:t>
      </w:r>
      <w:r w:rsidRPr="0005690F">
        <w:rPr>
          <w:color w:val="000000"/>
        </w:rPr>
        <w:t>ь</w:t>
      </w:r>
      <w:r w:rsidRPr="0005690F">
        <w:rPr>
          <w:color w:val="000000"/>
        </w:rPr>
        <w:t>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</w:t>
      </w:r>
      <w:r w:rsidRPr="0005690F">
        <w:rPr>
          <w:color w:val="000000"/>
        </w:rPr>
        <w:t>а</w:t>
      </w:r>
      <w:r w:rsidRPr="0005690F">
        <w:rPr>
          <w:color w:val="000000"/>
        </w:rPr>
        <w:t>тельных требований до контролируемых лиц, повышение информированности о способах их собл</w:t>
      </w:r>
      <w:r w:rsidRPr="0005690F">
        <w:rPr>
          <w:color w:val="000000"/>
        </w:rPr>
        <w:t>ю</w:t>
      </w:r>
      <w:r w:rsidRPr="0005690F">
        <w:rPr>
          <w:color w:val="000000"/>
        </w:rPr>
        <w:t>дения.</w:t>
      </w:r>
    </w:p>
    <w:p w:rsidR="00C247AA" w:rsidRPr="0005690F" w:rsidRDefault="00C247AA" w:rsidP="0005690F">
      <w:pPr>
        <w:ind w:firstLine="720"/>
        <w:jc w:val="both"/>
        <w:rPr>
          <w:color w:val="000000"/>
        </w:rPr>
      </w:pPr>
      <w:r w:rsidRPr="0005690F">
        <w:rPr>
          <w:color w:val="000000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</w:t>
      </w:r>
      <w:r w:rsidRPr="0005690F">
        <w:rPr>
          <w:color w:val="000000"/>
        </w:rPr>
        <w:t>т</w:t>
      </w:r>
      <w:r w:rsidRPr="0005690F">
        <w:rPr>
          <w:color w:val="000000"/>
        </w:rPr>
        <w:t>ношению к проведению контрольных меропри</w:t>
      </w:r>
      <w:r w:rsidRPr="0005690F">
        <w:rPr>
          <w:color w:val="000000"/>
        </w:rPr>
        <w:t>я</w:t>
      </w:r>
      <w:r w:rsidRPr="0005690F">
        <w:rPr>
          <w:color w:val="000000"/>
        </w:rPr>
        <w:t>тий (проверок).</w:t>
      </w:r>
    </w:p>
    <w:p w:rsidR="00133CCD" w:rsidRPr="0005690F" w:rsidRDefault="00133CCD" w:rsidP="0005690F">
      <w:pPr>
        <w:rPr>
          <w:b/>
        </w:rPr>
      </w:pPr>
    </w:p>
    <w:p w:rsidR="00830CBA" w:rsidRPr="0005690F" w:rsidRDefault="00346E40" w:rsidP="0005690F">
      <w:pPr>
        <w:jc w:val="center"/>
        <w:rPr>
          <w:b/>
        </w:rPr>
      </w:pPr>
      <w:r w:rsidRPr="0005690F">
        <w:rPr>
          <w:b/>
          <w:lang w:val="en-US"/>
        </w:rPr>
        <w:t>I</w:t>
      </w:r>
      <w:r w:rsidR="00C247AA" w:rsidRPr="0005690F">
        <w:rPr>
          <w:b/>
          <w:lang w:val="en-US"/>
        </w:rPr>
        <w:t>I</w:t>
      </w:r>
      <w:r w:rsidR="00133CCD" w:rsidRPr="0005690F">
        <w:rPr>
          <w:b/>
        </w:rPr>
        <w:t>.</w:t>
      </w:r>
      <w:r w:rsidR="00830CBA" w:rsidRPr="0005690F">
        <w:rPr>
          <w:rFonts w:eastAsiaTheme="minorHAnsi"/>
          <w:b/>
          <w:lang w:eastAsia="en-US"/>
        </w:rPr>
        <w:t xml:space="preserve"> </w:t>
      </w:r>
      <w:r w:rsidR="00830CBA" w:rsidRPr="0005690F">
        <w:rPr>
          <w:b/>
        </w:rPr>
        <w:t>Анализ текущ</w:t>
      </w:r>
      <w:r w:rsidR="00010B75" w:rsidRPr="0005690F">
        <w:rPr>
          <w:b/>
        </w:rPr>
        <w:t>его состояния осуществления</w:t>
      </w:r>
      <w:r w:rsidR="00830CBA" w:rsidRPr="0005690F">
        <w:rPr>
          <w:b/>
        </w:rPr>
        <w:t xml:space="preserve"> </w:t>
      </w:r>
      <w:r w:rsidR="00010B75" w:rsidRPr="0005690F">
        <w:rPr>
          <w:b/>
        </w:rPr>
        <w:t xml:space="preserve">муниципального жилищного </w:t>
      </w:r>
      <w:r w:rsidR="00830CBA" w:rsidRPr="0005690F">
        <w:rPr>
          <w:b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05690F" w:rsidRDefault="00893062" w:rsidP="0005690F">
      <w:pPr>
        <w:jc w:val="center"/>
        <w:rPr>
          <w:b/>
        </w:rPr>
      </w:pPr>
    </w:p>
    <w:p w:rsidR="00E52385" w:rsidRPr="0005690F" w:rsidRDefault="00893062" w:rsidP="0005690F">
      <w:pPr>
        <w:ind w:firstLine="567"/>
        <w:jc w:val="both"/>
      </w:pPr>
      <w:r w:rsidRPr="0005690F">
        <w:t>1.</w:t>
      </w:r>
      <w:r w:rsidR="00A573DA" w:rsidRPr="0005690F">
        <w:t xml:space="preserve">Программа профилактики </w:t>
      </w:r>
      <w:r w:rsidR="00F45C18" w:rsidRPr="0005690F">
        <w:t xml:space="preserve">рисков причинения вреда </w:t>
      </w:r>
      <w:r w:rsidR="0064229C" w:rsidRPr="0005690F">
        <w:t xml:space="preserve">(ущерба) </w:t>
      </w:r>
      <w:r w:rsidR="00F45C18" w:rsidRPr="0005690F">
        <w:t>охраняемым законом ц</w:t>
      </w:r>
      <w:r w:rsidR="00CB6710" w:rsidRPr="0005690F">
        <w:t>енностям по муниципальному жилищному контролю</w:t>
      </w:r>
      <w:r w:rsidR="00F45C18" w:rsidRPr="0005690F">
        <w:t xml:space="preserve"> на 202</w:t>
      </w:r>
      <w:r w:rsidR="009765FC" w:rsidRPr="0005690F">
        <w:t>3</w:t>
      </w:r>
      <w:r w:rsidR="00F45C18" w:rsidRPr="0005690F">
        <w:t xml:space="preserve"> год </w:t>
      </w:r>
      <w:r w:rsidR="00A573DA" w:rsidRPr="0005690F">
        <w:t xml:space="preserve">представляет собой систему </w:t>
      </w:r>
      <w:r w:rsidR="00FD3A0E" w:rsidRPr="0005690F">
        <w:t>мероприятий, направленных на снижение уровня</w:t>
      </w:r>
      <w:r w:rsidR="001C1243" w:rsidRPr="0005690F">
        <w:t xml:space="preserve"> допускаемых </w:t>
      </w:r>
      <w:r w:rsidR="00CB6710" w:rsidRPr="0005690F">
        <w:t xml:space="preserve">физическими лицами, </w:t>
      </w:r>
      <w:r w:rsidR="001C1243" w:rsidRPr="0005690F">
        <w:t>юридическими лицами, индивидуальными предпринимателями</w:t>
      </w:r>
      <w:r w:rsidR="00FD3A0E" w:rsidRPr="0005690F">
        <w:t>, нарушений законодательства</w:t>
      </w:r>
      <w:r w:rsidR="001C1243" w:rsidRPr="0005690F">
        <w:t>.</w:t>
      </w:r>
    </w:p>
    <w:p w:rsidR="00E52385" w:rsidRPr="0005690F" w:rsidRDefault="00A573DA" w:rsidP="0005690F">
      <w:pPr>
        <w:ind w:firstLine="567"/>
        <w:jc w:val="both"/>
      </w:pPr>
      <w:r w:rsidRPr="0005690F">
        <w:t>2</w:t>
      </w:r>
      <w:r w:rsidR="00FA0DCB" w:rsidRPr="0005690F">
        <w:t>.</w:t>
      </w:r>
      <w:r w:rsidR="00E52385" w:rsidRPr="0005690F">
        <w:t>Подконтрол</w:t>
      </w:r>
      <w:r w:rsidR="005A3D1E" w:rsidRPr="0005690F">
        <w:t xml:space="preserve">ьные субъекты </w:t>
      </w:r>
      <w:r w:rsidR="00CB6710" w:rsidRPr="0005690F">
        <w:t>–</w:t>
      </w:r>
      <w:r w:rsidR="00E52385" w:rsidRPr="0005690F">
        <w:t xml:space="preserve"> </w:t>
      </w:r>
      <w:r w:rsidR="00CB6710" w:rsidRPr="0005690F">
        <w:t xml:space="preserve">физические лица, </w:t>
      </w:r>
      <w:r w:rsidR="00743202" w:rsidRPr="0005690F">
        <w:t>юридические лица</w:t>
      </w:r>
      <w:r w:rsidR="00E52385" w:rsidRPr="0005690F">
        <w:t>,</w:t>
      </w:r>
      <w:r w:rsidR="00D50029" w:rsidRPr="0005690F">
        <w:t xml:space="preserve"> индивидуальные предприниматели, осуществляющие эксплуатацию жилищного фонда.</w:t>
      </w:r>
    </w:p>
    <w:p w:rsidR="00F45C18" w:rsidRPr="0005690F" w:rsidRDefault="00D50029" w:rsidP="0005690F">
      <w:pPr>
        <w:ind w:firstLine="567"/>
        <w:jc w:val="both"/>
      </w:pPr>
      <w:r w:rsidRPr="0005690F">
        <w:t>3</w:t>
      </w:r>
      <w:r w:rsidR="00B815C8" w:rsidRPr="0005690F">
        <w:t>.</w:t>
      </w:r>
      <w:r w:rsidR="00F45C18" w:rsidRPr="0005690F">
        <w:t>Профилактическое сопровождение контролируемых лиц в текущем периоде направлено на:</w:t>
      </w:r>
    </w:p>
    <w:p w:rsidR="00F45C18" w:rsidRPr="0005690F" w:rsidRDefault="00346E40" w:rsidP="0005690F">
      <w:pPr>
        <w:ind w:firstLine="567"/>
        <w:jc w:val="both"/>
      </w:pPr>
      <w:r w:rsidRPr="0005690F">
        <w:t>-</w:t>
      </w:r>
      <w:r w:rsidR="00F45C18" w:rsidRPr="0005690F">
        <w:t>ежемесячный мониторинг и актуализацию перечня нормативных правовых актов, соблюдение кот</w:t>
      </w:r>
      <w:r w:rsidR="0064229C" w:rsidRPr="0005690F">
        <w:t>орых оценивается в ходе контрольных мероприятий</w:t>
      </w:r>
      <w:r w:rsidR="00F45C18" w:rsidRPr="0005690F">
        <w:t>;</w:t>
      </w:r>
    </w:p>
    <w:p w:rsidR="00F45C18" w:rsidRPr="0005690F" w:rsidRDefault="00346E40" w:rsidP="0005690F">
      <w:pPr>
        <w:ind w:firstLine="567"/>
        <w:jc w:val="both"/>
      </w:pPr>
      <w:r w:rsidRPr="0005690F">
        <w:t>-</w:t>
      </w:r>
      <w:r w:rsidR="00F45C18" w:rsidRPr="0005690F"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05690F" w:rsidRDefault="00346E40" w:rsidP="0005690F">
      <w:pPr>
        <w:ind w:firstLine="567"/>
        <w:jc w:val="both"/>
      </w:pPr>
      <w:r w:rsidRPr="0005690F">
        <w:t>-</w:t>
      </w:r>
      <w:r w:rsidR="00F45C18" w:rsidRPr="0005690F">
        <w:t>обсуждение правоприменительной практики за соблюдением контролируемыми лицами требований законодательства.</w:t>
      </w:r>
    </w:p>
    <w:p w:rsidR="00F45C18" w:rsidRPr="0005690F" w:rsidRDefault="00D50029" w:rsidP="0005690F">
      <w:pPr>
        <w:ind w:firstLine="567"/>
        <w:jc w:val="both"/>
      </w:pPr>
      <w:r w:rsidRPr="0005690F">
        <w:t>4</w:t>
      </w:r>
      <w:r w:rsidR="00B815C8" w:rsidRPr="0005690F">
        <w:t>.</w:t>
      </w:r>
      <w:r w:rsidR="00F45C18" w:rsidRPr="0005690F">
        <w:t>По результатам контрольных мероприятий, проведенных в</w:t>
      </w:r>
      <w:r w:rsidR="0064229C" w:rsidRPr="0005690F">
        <w:t xml:space="preserve"> </w:t>
      </w:r>
      <w:r w:rsidR="00F45C18" w:rsidRPr="0005690F">
        <w:t>текущем периоде, наиболее значимыми проблемами являются:</w:t>
      </w:r>
    </w:p>
    <w:p w:rsidR="001167CF" w:rsidRPr="0005690F" w:rsidRDefault="001167CF" w:rsidP="0005690F">
      <w:pPr>
        <w:ind w:firstLine="567"/>
        <w:jc w:val="both"/>
      </w:pPr>
      <w:r w:rsidRPr="0005690F">
        <w:t>-несоблюдение</w:t>
      </w:r>
      <w:r w:rsidR="00D81811" w:rsidRPr="0005690F">
        <w:t xml:space="preserve"> юридическими лицами (управляющими компаниями) требований, в части содержания общего имущества.</w:t>
      </w:r>
    </w:p>
    <w:p w:rsidR="006F3335" w:rsidRPr="0005690F" w:rsidRDefault="00D50029" w:rsidP="0005690F">
      <w:pPr>
        <w:ind w:firstLine="567"/>
        <w:jc w:val="both"/>
      </w:pPr>
      <w:r w:rsidRPr="0005690F">
        <w:t>5</w:t>
      </w:r>
      <w:r w:rsidR="00B815C8" w:rsidRPr="0005690F">
        <w:t>.</w:t>
      </w:r>
      <w:r w:rsidR="006F3335" w:rsidRPr="0005690F">
        <w:t>Описание ключевых наиболее значимых рисков.</w:t>
      </w:r>
    </w:p>
    <w:p w:rsidR="006F3335" w:rsidRPr="0005690F" w:rsidRDefault="006F3335" w:rsidP="0005690F">
      <w:pPr>
        <w:ind w:firstLine="567"/>
        <w:jc w:val="both"/>
      </w:pPr>
      <w:r w:rsidRPr="0005690F">
        <w:t xml:space="preserve">Вероятность нарушения </w:t>
      </w:r>
      <w:r w:rsidR="00586949" w:rsidRPr="0005690F">
        <w:t xml:space="preserve">физическими лицами, </w:t>
      </w:r>
      <w:r w:rsidRPr="0005690F">
        <w:t>юридическими лицами</w:t>
      </w:r>
      <w:r w:rsidR="00586949" w:rsidRPr="0005690F">
        <w:t>, индивидуальными предпринимателями,</w:t>
      </w:r>
      <w:r w:rsidR="00D81811" w:rsidRPr="0005690F">
        <w:t xml:space="preserve"> </w:t>
      </w:r>
      <w:r w:rsidRPr="0005690F">
        <w:t>установленных требований законода</w:t>
      </w:r>
      <w:r w:rsidR="00D81811" w:rsidRPr="0005690F">
        <w:t>тельства в сфере муниципального жилищного контроля</w:t>
      </w:r>
      <w:r w:rsidRPr="0005690F">
        <w:t>.</w:t>
      </w:r>
    </w:p>
    <w:p w:rsidR="00743202" w:rsidRPr="0005690F" w:rsidRDefault="00D50029" w:rsidP="0005690F">
      <w:pPr>
        <w:ind w:firstLine="567"/>
        <w:jc w:val="both"/>
      </w:pPr>
      <w:r w:rsidRPr="0005690F">
        <w:t>6</w:t>
      </w:r>
      <w:r w:rsidR="00FC12DF" w:rsidRPr="0005690F">
        <w:t>.</w:t>
      </w:r>
      <w:r w:rsidR="00A55C1E" w:rsidRPr="0005690F">
        <w:t>Описание текущей и ожидаемой тенденций, которые могут</w:t>
      </w:r>
      <w:r w:rsidR="005B51EA" w:rsidRPr="0005690F">
        <w:t xml:space="preserve"> оказать </w:t>
      </w:r>
      <w:r w:rsidR="00A55C1E" w:rsidRPr="0005690F">
        <w:t>воздействие на состояние подконтрольной сферы.</w:t>
      </w:r>
    </w:p>
    <w:p w:rsidR="00A55C1E" w:rsidRPr="0005690F" w:rsidRDefault="00A55C1E" w:rsidP="0005690F">
      <w:pPr>
        <w:ind w:firstLine="567"/>
        <w:jc w:val="both"/>
      </w:pPr>
      <w:r w:rsidRPr="0005690F">
        <w:t>Совершенствование нормативной правовой базы в области осуществления деят</w:t>
      </w:r>
      <w:r w:rsidR="00D81811" w:rsidRPr="0005690F">
        <w:t>ельности по муниципальному жилищному контролю</w:t>
      </w:r>
      <w:r w:rsidRPr="0005690F">
        <w:t xml:space="preserve">, в том числе исключение избыточных, дублирующих </w:t>
      </w:r>
      <w:r w:rsidRPr="0005690F">
        <w:lastRenderedPageBreak/>
        <w:t>устаревших обязательных требований, дифференциация обязательных тр</w:t>
      </w:r>
      <w:r w:rsidR="00D81811" w:rsidRPr="0005690F">
        <w:t>ебований</w:t>
      </w:r>
      <w:r w:rsidRPr="0005690F"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 w:rsidRPr="0005690F">
        <w:t>муниципального жилищного контроля</w:t>
      </w:r>
      <w:r w:rsidR="007039B0" w:rsidRPr="0005690F">
        <w:t>.</w:t>
      </w:r>
    </w:p>
    <w:p w:rsidR="00154A30" w:rsidRPr="0005690F" w:rsidRDefault="00154A30" w:rsidP="0005690F">
      <w:pPr>
        <w:jc w:val="both"/>
      </w:pPr>
    </w:p>
    <w:p w:rsidR="00C331CA" w:rsidRPr="0005690F" w:rsidRDefault="00C247AA" w:rsidP="0005690F">
      <w:pPr>
        <w:ind w:firstLine="708"/>
        <w:jc w:val="center"/>
        <w:rPr>
          <w:b/>
        </w:rPr>
      </w:pPr>
      <w:r w:rsidRPr="0005690F">
        <w:rPr>
          <w:b/>
          <w:lang w:val="en-US"/>
        </w:rPr>
        <w:t>III</w:t>
      </w:r>
      <w:r w:rsidR="00C331CA" w:rsidRPr="0005690F">
        <w:rPr>
          <w:b/>
        </w:rPr>
        <w:t>. Цели и задачи реализации программы профилактики</w:t>
      </w:r>
    </w:p>
    <w:p w:rsidR="00C331CA" w:rsidRPr="0005690F" w:rsidRDefault="00C331CA" w:rsidP="0005690F">
      <w:pPr>
        <w:ind w:firstLine="567"/>
        <w:jc w:val="both"/>
      </w:pPr>
    </w:p>
    <w:p w:rsidR="00C247AA" w:rsidRPr="0005690F" w:rsidRDefault="00C247AA" w:rsidP="0005690F">
      <w:pPr>
        <w:ind w:right="-2" w:firstLine="851"/>
        <w:jc w:val="both"/>
      </w:pPr>
      <w:r w:rsidRPr="0005690F">
        <w:t xml:space="preserve">1. </w:t>
      </w:r>
      <w:r w:rsidRPr="0005690F">
        <w:t>Профилактика рисков причинения вреда (ущерба) охраняемым законом ценностям н</w:t>
      </w:r>
      <w:r w:rsidRPr="0005690F">
        <w:t>а</w:t>
      </w:r>
      <w:r w:rsidRPr="0005690F">
        <w:t>правлена на достижение следующих основных целей:</w:t>
      </w:r>
    </w:p>
    <w:p w:rsidR="00C247AA" w:rsidRPr="0005690F" w:rsidRDefault="00C247AA" w:rsidP="0005690F">
      <w:pPr>
        <w:ind w:right="-2" w:firstLine="851"/>
        <w:jc w:val="both"/>
      </w:pPr>
      <w:r w:rsidRPr="0005690F">
        <w:t>1) стимулирование добросовестного соблюдения обязательных требований всеми контролиру</w:t>
      </w:r>
      <w:r w:rsidRPr="0005690F">
        <w:t>е</w:t>
      </w:r>
      <w:r w:rsidRPr="0005690F">
        <w:t>мыми лицами;</w:t>
      </w:r>
    </w:p>
    <w:p w:rsidR="00C247AA" w:rsidRPr="0005690F" w:rsidRDefault="00C247AA" w:rsidP="0005690F">
      <w:pPr>
        <w:ind w:right="-2" w:firstLine="851"/>
        <w:jc w:val="both"/>
      </w:pPr>
      <w:r w:rsidRPr="0005690F">
        <w:t>2) устранение существующих и потенциальных условий, причин и факторов, способных прив</w:t>
      </w:r>
      <w:r w:rsidRPr="0005690F">
        <w:t>е</w:t>
      </w:r>
      <w:r w:rsidRPr="0005690F">
        <w:t>сти к нарушениям обязательных требований и (или) причинению вреда (ущерба);</w:t>
      </w:r>
    </w:p>
    <w:p w:rsidR="00C247AA" w:rsidRPr="0005690F" w:rsidRDefault="00C247AA" w:rsidP="0005690F">
      <w:pPr>
        <w:ind w:right="-2" w:firstLine="851"/>
        <w:jc w:val="both"/>
      </w:pPr>
      <w:r w:rsidRPr="0005690F">
        <w:t>3) создание условий для доведения обязательных требований до контролируемых лиц, повыш</w:t>
      </w:r>
      <w:r w:rsidRPr="0005690F">
        <w:t>е</w:t>
      </w:r>
      <w:r w:rsidRPr="0005690F">
        <w:t>ние информированности о способах их соблюдения.</w:t>
      </w:r>
    </w:p>
    <w:p w:rsidR="00C247AA" w:rsidRPr="0005690F" w:rsidRDefault="00C247AA" w:rsidP="0005690F">
      <w:pPr>
        <w:ind w:right="-2" w:firstLine="851"/>
        <w:jc w:val="both"/>
      </w:pPr>
      <w:r w:rsidRPr="0005690F">
        <w:t>4) предотвращение риска причинения вреда и снижения уровня ущерба вследствие нарушений обязательных требований;</w:t>
      </w:r>
    </w:p>
    <w:p w:rsidR="00C247AA" w:rsidRPr="0005690F" w:rsidRDefault="00C247AA" w:rsidP="0005690F">
      <w:pPr>
        <w:ind w:right="-2" w:firstLine="851"/>
        <w:jc w:val="both"/>
      </w:pPr>
      <w:r w:rsidRPr="0005690F">
        <w:t>5) повышение прозрачности осуществления регионального государственного строительного надзора;</w:t>
      </w:r>
    </w:p>
    <w:p w:rsidR="00C247AA" w:rsidRPr="0005690F" w:rsidRDefault="00C247AA" w:rsidP="0005690F">
      <w:pPr>
        <w:ind w:right="-2" w:firstLine="851"/>
        <w:jc w:val="both"/>
      </w:pPr>
      <w:r w:rsidRPr="0005690F">
        <w:t>6) формирование моделей социально ответственного, добросовестного правового поведения контролируемых лиц.</w:t>
      </w:r>
    </w:p>
    <w:p w:rsidR="00C247AA" w:rsidRPr="0005690F" w:rsidRDefault="00C247AA" w:rsidP="0005690F">
      <w:pPr>
        <w:ind w:right="-2" w:firstLine="851"/>
        <w:jc w:val="both"/>
      </w:pPr>
      <w:r w:rsidRPr="0005690F">
        <w:t xml:space="preserve"> </w:t>
      </w:r>
      <w:r w:rsidRPr="0005690F">
        <w:t xml:space="preserve">2. </w:t>
      </w:r>
      <w:r w:rsidRPr="0005690F">
        <w:t>Для достижения поставленной цели необходимо решить следующие основные зад</w:t>
      </w:r>
      <w:r w:rsidRPr="0005690F">
        <w:t>а</w:t>
      </w:r>
      <w:r w:rsidRPr="0005690F">
        <w:t>чи:</w:t>
      </w:r>
    </w:p>
    <w:p w:rsidR="00C247AA" w:rsidRPr="0005690F" w:rsidRDefault="00C247AA" w:rsidP="0005690F">
      <w:pPr>
        <w:ind w:right="-2" w:firstLine="851"/>
        <w:jc w:val="both"/>
      </w:pPr>
      <w:r w:rsidRPr="0005690F">
        <w:t>1) формирование у контролируемых лиц единообразного понимания требований законодател</w:t>
      </w:r>
      <w:r w:rsidRPr="0005690F">
        <w:t>ь</w:t>
      </w:r>
      <w:r w:rsidRPr="0005690F">
        <w:t xml:space="preserve">ства в сфере муниципального жилищного контроля на территории муниципального образования </w:t>
      </w:r>
      <w:r w:rsidRPr="0005690F">
        <w:t>Серебрянское</w:t>
      </w:r>
      <w:r w:rsidRPr="0005690F">
        <w:t xml:space="preserve"> сельское поселение Лужского муниципального района Ленинградской о</w:t>
      </w:r>
      <w:r w:rsidRPr="0005690F">
        <w:t>б</w:t>
      </w:r>
      <w:r w:rsidRPr="0005690F">
        <w:t>ласти;</w:t>
      </w:r>
    </w:p>
    <w:p w:rsidR="00C247AA" w:rsidRPr="0005690F" w:rsidRDefault="00C247AA" w:rsidP="0005690F">
      <w:pPr>
        <w:ind w:right="-2" w:firstLine="851"/>
        <w:jc w:val="both"/>
      </w:pPr>
      <w:r w:rsidRPr="0005690F">
        <w:t>2) повышение прозрачности деятельности при осуществлении муниципального жилищного контроля;</w:t>
      </w:r>
    </w:p>
    <w:p w:rsidR="00C247AA" w:rsidRPr="0005690F" w:rsidRDefault="00C247AA" w:rsidP="0005690F">
      <w:pPr>
        <w:ind w:right="-2" w:firstLine="851"/>
        <w:jc w:val="both"/>
      </w:pPr>
      <w:r w:rsidRPr="0005690F">
        <w:t>3) выявление наиболее часто встречающихся случаев нарушений требований законод</w:t>
      </w:r>
      <w:r w:rsidRPr="0005690F">
        <w:t>а</w:t>
      </w:r>
      <w:r w:rsidRPr="0005690F">
        <w:t>тельства в сфере муниципального жилищного контроля на территории муниципального образ</w:t>
      </w:r>
      <w:r w:rsidRPr="0005690F">
        <w:t>о</w:t>
      </w:r>
      <w:r w:rsidRPr="0005690F">
        <w:t xml:space="preserve">вания </w:t>
      </w:r>
      <w:r w:rsidRPr="0005690F">
        <w:t>Серебрянское</w:t>
      </w:r>
      <w:r w:rsidRPr="0005690F">
        <w:t xml:space="preserve"> сельское поселение Лужского муниципального района Ленинградской области, подготовка и размещ</w:t>
      </w:r>
      <w:r w:rsidRPr="0005690F">
        <w:t>е</w:t>
      </w:r>
      <w:r w:rsidRPr="0005690F">
        <w:t>ние на официальном интернет-сайте соответствующих руководств в целях недопущения указанных нарушений.</w:t>
      </w:r>
    </w:p>
    <w:p w:rsidR="00C247AA" w:rsidRPr="0005690F" w:rsidRDefault="00C247AA" w:rsidP="0005690F">
      <w:pPr>
        <w:ind w:right="-2" w:firstLine="851"/>
        <w:jc w:val="both"/>
      </w:pPr>
      <w:r w:rsidRPr="0005690F">
        <w:t xml:space="preserve">3. </w:t>
      </w:r>
      <w:r w:rsidRPr="0005690F">
        <w:t>Профилактические мероприятия планируются и осуществляются на основе соблюдения след</w:t>
      </w:r>
      <w:r w:rsidRPr="0005690F">
        <w:t>у</w:t>
      </w:r>
      <w:r w:rsidRPr="0005690F">
        <w:t>ющих основополагающих принципов:</w:t>
      </w:r>
    </w:p>
    <w:p w:rsidR="00C247AA" w:rsidRPr="0005690F" w:rsidRDefault="00C247AA" w:rsidP="0005690F">
      <w:pPr>
        <w:ind w:right="-2" w:firstLine="851"/>
        <w:jc w:val="both"/>
      </w:pPr>
      <w:r w:rsidRPr="0005690F">
        <w:t>1) принцип понятности - представление контролируемым лицам информации о требованиях з</w:t>
      </w:r>
      <w:r w:rsidRPr="0005690F">
        <w:t>а</w:t>
      </w:r>
      <w:r w:rsidRPr="0005690F">
        <w:t>конодательства в сфере муниципального жилищного контроля на территории муниципального образ</w:t>
      </w:r>
      <w:r w:rsidRPr="0005690F">
        <w:t>о</w:t>
      </w:r>
      <w:r w:rsidRPr="0005690F">
        <w:t xml:space="preserve">вания </w:t>
      </w:r>
      <w:r w:rsidRPr="0005690F">
        <w:t>Серебрянское</w:t>
      </w:r>
      <w:r w:rsidRPr="0005690F">
        <w:t xml:space="preserve"> сельское поселение Лужского муниципального района Ленинградской области в пр</w:t>
      </w:r>
      <w:r w:rsidRPr="0005690F">
        <w:t>о</w:t>
      </w:r>
      <w:r w:rsidRPr="0005690F">
        <w:t>стой исчерпывающей форме (описание, пояснение, приведение примеров, общес</w:t>
      </w:r>
      <w:r w:rsidRPr="0005690F">
        <w:t>т</w:t>
      </w:r>
      <w:r w:rsidRPr="0005690F">
        <w:t>венное обсуждение нормативных правовых актов, в том числе содержащих санкции за несоблюдение вышеуказанных тр</w:t>
      </w:r>
      <w:r w:rsidRPr="0005690F">
        <w:t>е</w:t>
      </w:r>
      <w:r w:rsidRPr="0005690F">
        <w:t>бований);</w:t>
      </w:r>
    </w:p>
    <w:p w:rsidR="00C247AA" w:rsidRPr="0005690F" w:rsidRDefault="00C247AA" w:rsidP="0005690F">
      <w:pPr>
        <w:ind w:right="-2" w:firstLine="851"/>
        <w:jc w:val="both"/>
      </w:pPr>
      <w:r w:rsidRPr="0005690F"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C247AA" w:rsidRPr="0005690F" w:rsidRDefault="00C247AA" w:rsidP="0005690F">
      <w:pPr>
        <w:ind w:right="-2" w:firstLine="851"/>
        <w:jc w:val="both"/>
      </w:pPr>
      <w:r w:rsidRPr="0005690F">
        <w:t>3) принцип обязательности - строгая необходимость проведения профилактических меропри</w:t>
      </w:r>
      <w:r w:rsidRPr="0005690F">
        <w:t>я</w:t>
      </w:r>
      <w:r w:rsidRPr="0005690F">
        <w:t>тий;</w:t>
      </w:r>
    </w:p>
    <w:p w:rsidR="00C247AA" w:rsidRPr="0005690F" w:rsidRDefault="00C247AA" w:rsidP="0005690F">
      <w:pPr>
        <w:ind w:right="-2" w:firstLine="851"/>
        <w:jc w:val="both"/>
      </w:pPr>
      <w:r w:rsidRPr="0005690F">
        <w:t>4) принцип полноты охвата - привлечение к настоящей программе максимально-возможного числа контролируемых лиц;</w:t>
      </w:r>
    </w:p>
    <w:p w:rsidR="00C247AA" w:rsidRPr="0005690F" w:rsidRDefault="00C247AA" w:rsidP="0005690F">
      <w:pPr>
        <w:ind w:right="-2" w:firstLine="851"/>
        <w:jc w:val="both"/>
      </w:pPr>
      <w:r w:rsidRPr="0005690F">
        <w:t>5) принцип релевантности - самостоятельный выбор Администрацией формы профилактич</w:t>
      </w:r>
      <w:r w:rsidRPr="0005690F">
        <w:t>е</w:t>
      </w:r>
      <w:r w:rsidRPr="0005690F">
        <w:t>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C247AA" w:rsidRPr="0005690F" w:rsidRDefault="00C247AA" w:rsidP="0005690F">
      <w:pPr>
        <w:ind w:right="-2" w:firstLine="851"/>
        <w:jc w:val="both"/>
      </w:pPr>
      <w:r w:rsidRPr="0005690F">
        <w:t>6) принцип актуальности - анализ и актуализация настоящей програ</w:t>
      </w:r>
      <w:r w:rsidRPr="0005690F">
        <w:t>м</w:t>
      </w:r>
      <w:r w:rsidRPr="0005690F">
        <w:t>мы;</w:t>
      </w:r>
    </w:p>
    <w:p w:rsidR="00C247AA" w:rsidRPr="0005690F" w:rsidRDefault="00C247AA" w:rsidP="0005690F">
      <w:pPr>
        <w:ind w:right="-2" w:firstLine="851"/>
        <w:jc w:val="both"/>
      </w:pPr>
      <w:r w:rsidRPr="0005690F">
        <w:t>7) принцип периодичности - обеспечение безусловной регулярности проведения профилактич</w:t>
      </w:r>
      <w:r w:rsidRPr="0005690F">
        <w:t>е</w:t>
      </w:r>
      <w:r w:rsidRPr="0005690F">
        <w:t>ских мероприятий.</w:t>
      </w:r>
    </w:p>
    <w:p w:rsidR="00C247AA" w:rsidRPr="0005690F" w:rsidRDefault="00C247AA" w:rsidP="0005690F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05690F">
        <w:rPr>
          <w:color w:val="000000"/>
        </w:rPr>
        <w:t xml:space="preserve">4. </w:t>
      </w:r>
      <w:r w:rsidRPr="0005690F">
        <w:rPr>
          <w:color w:val="000000"/>
        </w:rPr>
        <w:t>В положении о виде контроля мероприятия, направленные на нематериальное поощрение добр</w:t>
      </w:r>
      <w:r w:rsidRPr="0005690F">
        <w:rPr>
          <w:color w:val="000000"/>
        </w:rPr>
        <w:t>о</w:t>
      </w:r>
      <w:r w:rsidRPr="0005690F">
        <w:rPr>
          <w:color w:val="000000"/>
        </w:rPr>
        <w:t>совестных контролируемых лиц, не установлены, следовательно, меры стимулирования добросовестн</w:t>
      </w:r>
      <w:r w:rsidRPr="0005690F">
        <w:rPr>
          <w:color w:val="000000"/>
        </w:rPr>
        <w:t>о</w:t>
      </w:r>
      <w:r w:rsidRPr="0005690F">
        <w:rPr>
          <w:color w:val="000000"/>
        </w:rPr>
        <w:t>сти в программе не предусмотрены.</w:t>
      </w:r>
    </w:p>
    <w:p w:rsidR="00C247AA" w:rsidRPr="0005690F" w:rsidRDefault="00C247AA" w:rsidP="0005690F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05690F">
        <w:rPr>
          <w:color w:val="000000"/>
        </w:rPr>
        <w:lastRenderedPageBreak/>
        <w:t xml:space="preserve">5. </w:t>
      </w:r>
      <w:r w:rsidRPr="0005690F">
        <w:rPr>
          <w:color w:val="000000"/>
        </w:rPr>
        <w:t>В положении о виде контроля с</w:t>
      </w:r>
      <w:r w:rsidRPr="0005690F">
        <w:rPr>
          <w:color w:val="000000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5690F">
        <w:rPr>
          <w:color w:val="000000"/>
          <w:shd w:val="clear" w:color="auto" w:fill="FFFFFF"/>
        </w:rPr>
        <w:t>с</w:t>
      </w:r>
      <w:r w:rsidRPr="0005690F">
        <w:rPr>
          <w:color w:val="000000"/>
          <w:shd w:val="clear" w:color="auto" w:fill="FFFFFF"/>
        </w:rPr>
        <w:t>а</w:t>
      </w:r>
      <w:r w:rsidRPr="0005690F">
        <w:rPr>
          <w:color w:val="000000"/>
          <w:shd w:val="clear" w:color="auto" w:fill="FFFFFF"/>
        </w:rPr>
        <w:t>мообследование</w:t>
      </w:r>
      <w:proofErr w:type="spellEnd"/>
      <w:r w:rsidRPr="0005690F">
        <w:rPr>
          <w:color w:val="000000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5690F">
        <w:rPr>
          <w:color w:val="000000"/>
          <w:shd w:val="clear" w:color="auto" w:fill="FFFFFF"/>
        </w:rPr>
        <w:t>самообследования</w:t>
      </w:r>
      <w:proofErr w:type="spellEnd"/>
      <w:r w:rsidRPr="0005690F">
        <w:rPr>
          <w:color w:val="000000"/>
          <w:shd w:val="clear" w:color="auto" w:fill="FFFFFF"/>
        </w:rPr>
        <w:t xml:space="preserve"> в автомат</w:t>
      </w:r>
      <w:r w:rsidRPr="0005690F">
        <w:rPr>
          <w:color w:val="000000"/>
          <w:shd w:val="clear" w:color="auto" w:fill="FFFFFF"/>
        </w:rPr>
        <w:t>и</w:t>
      </w:r>
      <w:r w:rsidRPr="0005690F">
        <w:rPr>
          <w:color w:val="000000"/>
          <w:shd w:val="clear" w:color="auto" w:fill="FFFFFF"/>
        </w:rPr>
        <w:t>зированном режиме не опред</w:t>
      </w:r>
      <w:r w:rsidRPr="0005690F">
        <w:rPr>
          <w:color w:val="000000"/>
          <w:shd w:val="clear" w:color="auto" w:fill="FFFFFF"/>
        </w:rPr>
        <w:t>е</w:t>
      </w:r>
      <w:r w:rsidRPr="0005690F">
        <w:rPr>
          <w:color w:val="000000"/>
          <w:shd w:val="clear" w:color="auto" w:fill="FFFFFF"/>
        </w:rPr>
        <w:t>лены (ч.1 ст.51 №248-ФЗ).</w:t>
      </w:r>
    </w:p>
    <w:p w:rsidR="00961EBA" w:rsidRPr="0005690F" w:rsidRDefault="00961EBA" w:rsidP="0005690F">
      <w:pPr>
        <w:ind w:firstLine="708"/>
        <w:jc w:val="both"/>
      </w:pPr>
    </w:p>
    <w:p w:rsidR="00830CBA" w:rsidRPr="0005690F" w:rsidRDefault="00736C2B" w:rsidP="0005690F">
      <w:pPr>
        <w:jc w:val="center"/>
        <w:rPr>
          <w:b/>
          <w:bCs/>
        </w:rPr>
      </w:pPr>
      <w:r>
        <w:rPr>
          <w:b/>
          <w:lang w:val="en-US"/>
        </w:rPr>
        <w:t>IV</w:t>
      </w:r>
      <w:r w:rsidR="00AD3039" w:rsidRPr="0005690F">
        <w:rPr>
          <w:b/>
        </w:rPr>
        <w:t xml:space="preserve">. </w:t>
      </w:r>
      <w:r w:rsidR="00830CBA" w:rsidRPr="0005690F">
        <w:rPr>
          <w:b/>
          <w:bCs/>
        </w:rPr>
        <w:t>Перечень профилактических мероприятий,</w:t>
      </w:r>
      <w:r w:rsidR="00DA31FE" w:rsidRPr="0005690F">
        <w:rPr>
          <w:b/>
          <w:bCs/>
        </w:rPr>
        <w:t xml:space="preserve"> </w:t>
      </w:r>
      <w:r w:rsidR="00830CBA" w:rsidRPr="0005690F">
        <w:rPr>
          <w:b/>
          <w:bCs/>
        </w:rPr>
        <w:t xml:space="preserve">сроки (периодичность) их проведения </w:t>
      </w:r>
    </w:p>
    <w:p w:rsidR="00C247AA" w:rsidRPr="0005690F" w:rsidRDefault="00C247AA" w:rsidP="0005690F">
      <w:pPr>
        <w:ind w:firstLine="709"/>
        <w:jc w:val="both"/>
      </w:pPr>
      <w:r w:rsidRPr="0005690F">
        <w:t>Мероприятия программы представляют собой комплекс мер, направленных на достиж</w:t>
      </w:r>
      <w:r w:rsidRPr="0005690F">
        <w:t>е</w:t>
      </w:r>
      <w:r w:rsidRPr="0005690F">
        <w:t xml:space="preserve">ние целей и решение основных задач настоящей Программы. </w:t>
      </w:r>
    </w:p>
    <w:p w:rsidR="00C247AA" w:rsidRPr="0005690F" w:rsidRDefault="00C247AA" w:rsidP="0005690F">
      <w:pPr>
        <w:ind w:firstLine="709"/>
        <w:jc w:val="both"/>
      </w:pPr>
      <w:r w:rsidRPr="0005690F">
        <w:t xml:space="preserve">Перечень основных профилактических мероприятий Программы на 2023 год приведен в таблице №1. </w:t>
      </w:r>
    </w:p>
    <w:p w:rsidR="00C247AA" w:rsidRPr="0005690F" w:rsidRDefault="00C247AA" w:rsidP="0005690F">
      <w:pPr>
        <w:suppressAutoHyphens/>
        <w:jc w:val="right"/>
        <w:rPr>
          <w:color w:val="000000"/>
        </w:rPr>
      </w:pPr>
      <w:r w:rsidRPr="0005690F">
        <w:rPr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:rsidR="00C247AA" w:rsidRPr="0005690F" w:rsidRDefault="00C247AA" w:rsidP="0005690F">
      <w:pPr>
        <w:suppressAutoHyphens/>
        <w:jc w:val="center"/>
        <w:rPr>
          <w:color w:val="00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475"/>
        <w:gridCol w:w="2582"/>
        <w:gridCol w:w="2582"/>
      </w:tblGrid>
      <w:tr w:rsidR="00C247AA" w:rsidRPr="0005690F" w:rsidTr="00C247AA">
        <w:trPr>
          <w:trHeight w:val="28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</w:tr>
      <w:tr w:rsidR="00C247AA" w:rsidRPr="0005690F" w:rsidTr="00C247AA">
        <w:trPr>
          <w:trHeight w:val="36"/>
          <w:tblHeader/>
        </w:trPr>
        <w:tc>
          <w:tcPr>
            <w:tcW w:w="334" w:type="pct"/>
            <w:vAlign w:val="center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pct"/>
            <w:vAlign w:val="center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pct"/>
            <w:vAlign w:val="center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47AA" w:rsidRPr="0005690F" w:rsidTr="00C247AA">
        <w:tc>
          <w:tcPr>
            <w:tcW w:w="334" w:type="pct"/>
            <w:vMerge w:val="restar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Размещение на официальном сайте Администрации </w:t>
            </w:r>
            <w:r w:rsidRPr="0005690F">
              <w:rPr>
                <w:color w:val="000000"/>
                <w:sz w:val="20"/>
                <w:szCs w:val="20"/>
              </w:rPr>
              <w:t>Серебрянского</w:t>
            </w:r>
            <w:r w:rsidRPr="0005690F">
              <w:rPr>
                <w:color w:val="000000"/>
                <w:sz w:val="20"/>
                <w:szCs w:val="20"/>
              </w:rPr>
              <w:t xml:space="preserve"> сельского поселения Лужского муниципального района Ленинградской области актуальной информации: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50" w:type="pct"/>
            <w:vMerge w:val="restar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жилищного контроля</w:t>
            </w:r>
            <w:r w:rsidRPr="0005690F">
              <w:rPr>
                <w:sz w:val="20"/>
                <w:szCs w:val="20"/>
              </w:rPr>
              <w:t xml:space="preserve"> на территории муниципального образования </w:t>
            </w:r>
            <w:r w:rsidRPr="0005690F">
              <w:rPr>
                <w:sz w:val="20"/>
                <w:szCs w:val="20"/>
              </w:rPr>
              <w:t>Серебрянское</w:t>
            </w:r>
            <w:r w:rsidRPr="0005690F">
              <w:rPr>
                <w:sz w:val="20"/>
                <w:szCs w:val="20"/>
              </w:rPr>
              <w:t xml:space="preserve"> сельское поселение Лужского муниципального района Ленинградской области;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1250" w:type="pct"/>
            <w:vMerge/>
          </w:tcPr>
          <w:p w:rsidR="00C247AA" w:rsidRPr="0005690F" w:rsidRDefault="00C247AA" w:rsidP="0005690F">
            <w:pPr>
              <w:suppressAutoHyphens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C247AA" w:rsidRPr="0005690F" w:rsidTr="00C247AA"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жилищного контроля</w:t>
            </w:r>
            <w:r w:rsidRPr="0005690F">
              <w:rPr>
                <w:sz w:val="20"/>
                <w:szCs w:val="20"/>
              </w:rPr>
              <w:t xml:space="preserve"> на территории муниципального образования </w:t>
            </w:r>
            <w:r w:rsidRPr="0005690F">
              <w:rPr>
                <w:sz w:val="20"/>
                <w:szCs w:val="20"/>
              </w:rPr>
              <w:t>Серебрянское</w:t>
            </w:r>
            <w:r w:rsidRPr="0005690F">
              <w:rPr>
                <w:sz w:val="20"/>
                <w:szCs w:val="20"/>
              </w:rPr>
              <w:t xml:space="preserve"> сельское поселение Лужского муниципального района Ленинградской области</w:t>
            </w:r>
            <w:r w:rsidRPr="0005690F">
              <w:rPr>
                <w:color w:val="000000"/>
                <w:sz w:val="20"/>
                <w:szCs w:val="20"/>
              </w:rPr>
              <w:t>, о сроках и порядке их вступления в силу;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hyperlink r:id="rId7" w:history="1">
              <w:r w:rsidRPr="0005690F">
                <w:rPr>
                  <w:color w:val="000000"/>
                  <w:sz w:val="20"/>
                  <w:szCs w:val="20"/>
                </w:rPr>
                <w:t>перечень</w:t>
              </w:r>
            </w:hyperlink>
            <w:r w:rsidRPr="0005690F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1323"/>
        </w:trPr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в течение 2023 г, поддерживать в актуальном состоянии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05690F">
        <w:trPr>
          <w:trHeight w:val="193"/>
        </w:trPr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в течение 2023 г, поддерживать в актуальном состоянии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1524"/>
        </w:trPr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в течение 2023 г, поддерживать в актуальном состоянии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690F" w:rsidRPr="0005690F" w:rsidTr="00C247AA">
        <w:trPr>
          <w:trHeight w:val="1350"/>
        </w:trPr>
        <w:tc>
          <w:tcPr>
            <w:tcW w:w="334" w:type="pct"/>
            <w:vMerge/>
          </w:tcPr>
          <w:p w:rsidR="0005690F" w:rsidRPr="0005690F" w:rsidRDefault="0005690F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05690F" w:rsidRPr="0005690F" w:rsidRDefault="0005690F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250" w:type="pct"/>
          </w:tcPr>
          <w:p w:rsidR="0005690F" w:rsidRPr="0005690F" w:rsidRDefault="0005690F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:rsidR="0005690F" w:rsidRPr="0005690F" w:rsidRDefault="0005690F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 xml:space="preserve">(не позднее </w:t>
            </w:r>
          </w:p>
          <w:p w:rsidR="0005690F" w:rsidRPr="0005690F" w:rsidRDefault="0005690F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 xml:space="preserve">1 марта) </w:t>
            </w:r>
          </w:p>
          <w:p w:rsidR="0005690F" w:rsidRPr="0005690F" w:rsidRDefault="0005690F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(с периодичностью, не реже одного раза в год)</w:t>
            </w:r>
          </w:p>
        </w:tc>
        <w:tc>
          <w:tcPr>
            <w:tcW w:w="1250" w:type="pct"/>
          </w:tcPr>
          <w:p w:rsidR="0005690F" w:rsidRPr="0005690F" w:rsidRDefault="0005690F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5690F" w:rsidRPr="0005690F" w:rsidTr="00C247AA">
        <w:trPr>
          <w:trHeight w:val="1114"/>
        </w:trPr>
        <w:tc>
          <w:tcPr>
            <w:tcW w:w="334" w:type="pct"/>
            <w:vMerge/>
          </w:tcPr>
          <w:p w:rsidR="0005690F" w:rsidRPr="0005690F" w:rsidRDefault="0005690F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05690F" w:rsidRPr="0005690F" w:rsidRDefault="0005690F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ежегодный доклад о муниципальном жилищном </w:t>
            </w:r>
            <w:proofErr w:type="gramStart"/>
            <w:r w:rsidRPr="0005690F">
              <w:rPr>
                <w:color w:val="000000"/>
                <w:sz w:val="20"/>
                <w:szCs w:val="20"/>
              </w:rPr>
              <w:t>контроле</w:t>
            </w:r>
            <w:r w:rsidRPr="0005690F">
              <w:rPr>
                <w:sz w:val="20"/>
                <w:szCs w:val="20"/>
              </w:rPr>
              <w:t xml:space="preserve">  на</w:t>
            </w:r>
            <w:proofErr w:type="gramEnd"/>
            <w:r w:rsidRPr="0005690F">
              <w:rPr>
                <w:sz w:val="20"/>
                <w:szCs w:val="20"/>
              </w:rPr>
              <w:t xml:space="preserve"> территории муниципального образования </w:t>
            </w:r>
            <w:r w:rsidRPr="0005690F">
              <w:rPr>
                <w:sz w:val="20"/>
                <w:szCs w:val="20"/>
              </w:rPr>
              <w:t>Серебрянское</w:t>
            </w:r>
            <w:r w:rsidRPr="0005690F">
              <w:rPr>
                <w:sz w:val="20"/>
                <w:szCs w:val="20"/>
              </w:rPr>
              <w:t xml:space="preserve"> сельское поселение Лужского муниципального района Ленинградской области</w:t>
            </w:r>
            <w:r w:rsidRPr="0005690F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250" w:type="pct"/>
          </w:tcPr>
          <w:p w:rsidR="0005690F" w:rsidRPr="0005690F" w:rsidRDefault="0005690F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:rsidR="0005690F" w:rsidRPr="0005690F" w:rsidRDefault="0005690F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 xml:space="preserve">(не позднее </w:t>
            </w:r>
          </w:p>
          <w:p w:rsidR="0005690F" w:rsidRPr="0005690F" w:rsidRDefault="0005690F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 xml:space="preserve">1 марта) </w:t>
            </w:r>
          </w:p>
          <w:p w:rsidR="0005690F" w:rsidRPr="0005690F" w:rsidRDefault="0005690F" w:rsidP="0005690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05690F" w:rsidRPr="0005690F" w:rsidRDefault="0005690F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1411"/>
        </w:trPr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05690F">
        <w:trPr>
          <w:trHeight w:val="1806"/>
        </w:trPr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Программы профилактики на 2024 г. 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 xml:space="preserve">не позднее 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 xml:space="preserve">1 октября 2023 г. 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240"/>
        </w:trPr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Ежегодных планов проведения плановых контрольных (надзорных) мероприятий по муниципальному жилищному контролю</w:t>
            </w:r>
            <w:r w:rsidRPr="0005690F">
              <w:rPr>
                <w:sz w:val="20"/>
                <w:szCs w:val="20"/>
              </w:rPr>
              <w:t xml:space="preserve"> на территории муниципального образования </w:t>
            </w:r>
            <w:r w:rsidRPr="0005690F">
              <w:rPr>
                <w:sz w:val="20"/>
                <w:szCs w:val="20"/>
              </w:rPr>
              <w:t>Серебрянское</w:t>
            </w:r>
            <w:r w:rsidRPr="0005690F">
              <w:rPr>
                <w:sz w:val="20"/>
                <w:szCs w:val="20"/>
              </w:rPr>
              <w:t xml:space="preserve"> сельское поселение Лужского муниципального района Ленинградской области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 xml:space="preserve">в течение 5 рабочих дней со дня их утверждения 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sz w:val="20"/>
                <w:szCs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1750"/>
        </w:trPr>
        <w:tc>
          <w:tcPr>
            <w:tcW w:w="334" w:type="pct"/>
            <w:vMerge w:val="restar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Pr="0005690F">
              <w:rPr>
                <w:sz w:val="20"/>
                <w:szCs w:val="20"/>
              </w:rPr>
              <w:t xml:space="preserve">в сфере муниципального жилищного контроля на территории муниципального образования </w:t>
            </w:r>
            <w:r w:rsidRPr="0005690F">
              <w:rPr>
                <w:sz w:val="20"/>
                <w:szCs w:val="20"/>
              </w:rPr>
              <w:t>Серебрянское</w:t>
            </w:r>
            <w:r w:rsidRPr="0005690F">
              <w:rPr>
                <w:sz w:val="20"/>
                <w:szCs w:val="20"/>
              </w:rPr>
              <w:t xml:space="preserve"> сельское поселение Лужского муниципального района Ленинградской области</w:t>
            </w:r>
            <w:r w:rsidRPr="0005690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1480"/>
        </w:trPr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в течение 2023 года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63"/>
        </w:trPr>
        <w:tc>
          <w:tcPr>
            <w:tcW w:w="334" w:type="pct"/>
            <w:vMerge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публикаций на официальном сайте Администрации </w:t>
            </w:r>
            <w:r w:rsidRPr="0005690F">
              <w:rPr>
                <w:color w:val="000000"/>
                <w:sz w:val="20"/>
                <w:szCs w:val="20"/>
              </w:rPr>
              <w:t>Серебрянского</w:t>
            </w:r>
            <w:r w:rsidRPr="0005690F">
              <w:rPr>
                <w:color w:val="000000"/>
                <w:sz w:val="20"/>
                <w:szCs w:val="20"/>
              </w:rPr>
              <w:t xml:space="preserve"> сельского поселения Лужского муниципального района Ленинградской области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в течение 2023 г.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1740"/>
        </w:trPr>
        <w:tc>
          <w:tcPr>
            <w:tcW w:w="334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Обобщение контрольным (надзорным) органом правоприменительной практики осуществления </w:t>
            </w:r>
            <w:r w:rsidRPr="0005690F">
              <w:rPr>
                <w:sz w:val="20"/>
                <w:szCs w:val="20"/>
              </w:rPr>
              <w:t xml:space="preserve">муниципального жилищного контроля на территории муниципального образования </w:t>
            </w:r>
            <w:r w:rsidRPr="0005690F">
              <w:rPr>
                <w:sz w:val="20"/>
                <w:szCs w:val="20"/>
              </w:rPr>
              <w:t>Серебрянское</w:t>
            </w:r>
            <w:r w:rsidRPr="0005690F">
              <w:rPr>
                <w:sz w:val="20"/>
                <w:szCs w:val="20"/>
              </w:rPr>
              <w:t xml:space="preserve"> сельское поселение Лужского муниципального района Ленинградской области</w:t>
            </w:r>
            <w:r w:rsidRPr="0005690F">
              <w:rPr>
                <w:color w:val="000000"/>
                <w:sz w:val="20"/>
                <w:szCs w:val="20"/>
              </w:rPr>
              <w:t xml:space="preserve"> в части компетенции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ежегодно, 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не позднее 1 марта 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1076"/>
        </w:trPr>
        <w:tc>
          <w:tcPr>
            <w:tcW w:w="334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В соответствии с российским законодательством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2740"/>
        </w:trPr>
        <w:tc>
          <w:tcPr>
            <w:tcW w:w="334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66" w:type="pct"/>
          </w:tcPr>
          <w:p w:rsidR="00C247AA" w:rsidRPr="0005690F" w:rsidRDefault="00C247AA" w:rsidP="0005690F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  <w:sz w:val="20"/>
              </w:rPr>
            </w:pPr>
            <w:r w:rsidRPr="0005690F">
              <w:rPr>
                <w:rFonts w:ascii="Times New Roman" w:hAnsi="Times New Roman" w:cs="Times New Roman"/>
                <w:sz w:val="20"/>
              </w:rPr>
              <w:t>Консультирование контролируемых лиц и их пре</w:t>
            </w:r>
            <w:r w:rsidRPr="0005690F">
              <w:rPr>
                <w:rFonts w:ascii="Times New Roman" w:hAnsi="Times New Roman" w:cs="Times New Roman"/>
                <w:sz w:val="20"/>
              </w:rPr>
              <w:t>д</w:t>
            </w:r>
            <w:r w:rsidRPr="0005690F">
              <w:rPr>
                <w:rFonts w:ascii="Times New Roman" w:hAnsi="Times New Roman" w:cs="Times New Roman"/>
                <w:sz w:val="20"/>
              </w:rPr>
              <w:t>ставителей осуществляется по вопросам, св</w:t>
            </w:r>
            <w:r w:rsidRPr="0005690F">
              <w:rPr>
                <w:rFonts w:ascii="Times New Roman" w:hAnsi="Times New Roman" w:cs="Times New Roman"/>
                <w:sz w:val="20"/>
              </w:rPr>
              <w:t>я</w:t>
            </w:r>
            <w:r w:rsidRPr="0005690F">
              <w:rPr>
                <w:rFonts w:ascii="Times New Roman" w:hAnsi="Times New Roman" w:cs="Times New Roman"/>
                <w:sz w:val="20"/>
              </w:rPr>
              <w:t>занным с организацией и осуществлением муниц</w:t>
            </w:r>
            <w:r w:rsidRPr="0005690F">
              <w:rPr>
                <w:rFonts w:ascii="Times New Roman" w:hAnsi="Times New Roman" w:cs="Times New Roman"/>
                <w:sz w:val="20"/>
              </w:rPr>
              <w:t>и</w:t>
            </w:r>
            <w:r w:rsidRPr="0005690F">
              <w:rPr>
                <w:rFonts w:ascii="Times New Roman" w:hAnsi="Times New Roman" w:cs="Times New Roman"/>
                <w:sz w:val="20"/>
              </w:rPr>
              <w:t>пального контроля:</w:t>
            </w:r>
          </w:p>
          <w:p w:rsidR="00C247AA" w:rsidRPr="0005690F" w:rsidRDefault="00C247AA" w:rsidP="0005690F">
            <w:pPr>
              <w:pStyle w:val="ConsPlusNormal"/>
              <w:ind w:left="211"/>
              <w:jc w:val="both"/>
              <w:rPr>
                <w:rFonts w:ascii="Times New Roman" w:hAnsi="Times New Roman" w:cs="Times New Roman"/>
                <w:sz w:val="20"/>
              </w:rPr>
            </w:pPr>
            <w:r w:rsidRPr="0005690F">
              <w:rPr>
                <w:rFonts w:ascii="Times New Roman" w:hAnsi="Times New Roman" w:cs="Times New Roman"/>
                <w:sz w:val="20"/>
              </w:rPr>
              <w:t>1) порядка проведения контрольных меропри</w:t>
            </w:r>
            <w:r w:rsidRPr="0005690F">
              <w:rPr>
                <w:rFonts w:ascii="Times New Roman" w:hAnsi="Times New Roman" w:cs="Times New Roman"/>
                <w:sz w:val="20"/>
              </w:rPr>
              <w:t>я</w:t>
            </w:r>
            <w:r w:rsidRPr="0005690F">
              <w:rPr>
                <w:rFonts w:ascii="Times New Roman" w:hAnsi="Times New Roman" w:cs="Times New Roman"/>
                <w:sz w:val="20"/>
              </w:rPr>
              <w:t>тий;</w:t>
            </w:r>
          </w:p>
          <w:p w:rsidR="00C247AA" w:rsidRPr="0005690F" w:rsidRDefault="00C247AA" w:rsidP="0005690F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  <w:sz w:val="20"/>
              </w:rPr>
            </w:pPr>
            <w:r w:rsidRPr="0005690F">
              <w:rPr>
                <w:rFonts w:ascii="Times New Roman" w:hAnsi="Times New Roman" w:cs="Times New Roman"/>
                <w:sz w:val="20"/>
              </w:rPr>
              <w:t>2) периодичности проведения контрольных мер</w:t>
            </w:r>
            <w:r w:rsidRPr="0005690F">
              <w:rPr>
                <w:rFonts w:ascii="Times New Roman" w:hAnsi="Times New Roman" w:cs="Times New Roman"/>
                <w:sz w:val="20"/>
              </w:rPr>
              <w:t>о</w:t>
            </w:r>
            <w:r w:rsidRPr="0005690F">
              <w:rPr>
                <w:rFonts w:ascii="Times New Roman" w:hAnsi="Times New Roman" w:cs="Times New Roman"/>
                <w:sz w:val="20"/>
              </w:rPr>
              <w:t>приятий;</w:t>
            </w:r>
          </w:p>
          <w:p w:rsidR="00C247AA" w:rsidRPr="0005690F" w:rsidRDefault="00C247AA" w:rsidP="0005690F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  <w:sz w:val="20"/>
              </w:rPr>
            </w:pPr>
            <w:r w:rsidRPr="0005690F">
              <w:rPr>
                <w:rFonts w:ascii="Times New Roman" w:hAnsi="Times New Roman" w:cs="Times New Roman"/>
                <w:sz w:val="20"/>
              </w:rPr>
              <w:t>3) порядка принятия решений по итогам ко</w:t>
            </w:r>
            <w:r w:rsidRPr="0005690F">
              <w:rPr>
                <w:rFonts w:ascii="Times New Roman" w:hAnsi="Times New Roman" w:cs="Times New Roman"/>
                <w:sz w:val="20"/>
              </w:rPr>
              <w:t>н</w:t>
            </w:r>
            <w:r w:rsidRPr="0005690F">
              <w:rPr>
                <w:rFonts w:ascii="Times New Roman" w:hAnsi="Times New Roman" w:cs="Times New Roman"/>
                <w:sz w:val="20"/>
              </w:rPr>
              <w:t>трольных меропри</w:t>
            </w:r>
            <w:r w:rsidRPr="0005690F">
              <w:rPr>
                <w:rFonts w:ascii="Times New Roman" w:hAnsi="Times New Roman" w:cs="Times New Roman"/>
                <w:sz w:val="20"/>
              </w:rPr>
              <w:t>я</w:t>
            </w:r>
            <w:r w:rsidRPr="0005690F">
              <w:rPr>
                <w:rFonts w:ascii="Times New Roman" w:hAnsi="Times New Roman" w:cs="Times New Roman"/>
                <w:sz w:val="20"/>
              </w:rPr>
              <w:t>тий;</w:t>
            </w:r>
          </w:p>
          <w:p w:rsidR="00C247AA" w:rsidRPr="0005690F" w:rsidRDefault="00C247AA" w:rsidP="0005690F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  <w:sz w:val="20"/>
              </w:rPr>
            </w:pPr>
            <w:r w:rsidRPr="0005690F">
              <w:rPr>
                <w:rFonts w:ascii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</w:t>
            </w:r>
            <w:r w:rsidRPr="0005690F">
              <w:rPr>
                <w:sz w:val="20"/>
                <w:szCs w:val="20"/>
              </w:rPr>
              <w:t xml:space="preserve">муниципального жилищного контроля на территории муниципального образования </w:t>
            </w:r>
            <w:r w:rsidRPr="0005690F">
              <w:rPr>
                <w:sz w:val="20"/>
                <w:szCs w:val="20"/>
              </w:rPr>
              <w:t>Серебрянское</w:t>
            </w:r>
            <w:r w:rsidRPr="0005690F">
              <w:rPr>
                <w:sz w:val="20"/>
                <w:szCs w:val="20"/>
              </w:rPr>
              <w:t xml:space="preserve"> сельское поселение Лужского муниципального района Ленинградской области</w:t>
            </w:r>
            <w:r w:rsidRPr="0005690F">
              <w:rPr>
                <w:color w:val="000000"/>
                <w:sz w:val="20"/>
                <w:szCs w:val="20"/>
              </w:rPr>
              <w:t xml:space="preserve"> в отношении контролируемых лиц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47AA" w:rsidRPr="0005690F" w:rsidTr="00C247AA">
        <w:trPr>
          <w:trHeight w:val="188"/>
        </w:trPr>
        <w:tc>
          <w:tcPr>
            <w:tcW w:w="334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05690F">
              <w:rPr>
                <w:color w:val="000000"/>
                <w:sz w:val="20"/>
                <w:szCs w:val="20"/>
                <w:lang w:val="en-US"/>
              </w:rPr>
              <w:t>I</w:t>
            </w:r>
            <w:r w:rsidRPr="0005690F">
              <w:rPr>
                <w:color w:val="000000"/>
                <w:sz w:val="20"/>
                <w:szCs w:val="20"/>
              </w:rPr>
              <w:t xml:space="preserve"> и </w:t>
            </w:r>
            <w:r w:rsidRPr="0005690F">
              <w:rPr>
                <w:color w:val="000000"/>
                <w:sz w:val="20"/>
                <w:szCs w:val="20"/>
                <w:lang w:val="en-US"/>
              </w:rPr>
              <w:t>IV</w:t>
            </w:r>
            <w:r w:rsidRPr="0005690F">
              <w:rPr>
                <w:color w:val="000000"/>
                <w:sz w:val="20"/>
                <w:szCs w:val="20"/>
              </w:rPr>
              <w:t xml:space="preserve"> квартал 2023 г.)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Pr="0005690F">
              <w:rPr>
                <w:color w:val="000000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</w:tr>
      <w:tr w:rsidR="00C247AA" w:rsidRPr="0005690F" w:rsidTr="00C247AA">
        <w:trPr>
          <w:trHeight w:val="188"/>
        </w:trPr>
        <w:tc>
          <w:tcPr>
            <w:tcW w:w="334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66" w:type="pct"/>
          </w:tcPr>
          <w:p w:rsidR="00C247AA" w:rsidRPr="0005690F" w:rsidRDefault="00C247AA" w:rsidP="0005690F">
            <w:pPr>
              <w:suppressAutoHyphens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Разработка и утверждение Программы (Плана) </w:t>
            </w:r>
            <w:r w:rsidRPr="0005690F">
              <w:rPr>
                <w:sz w:val="20"/>
                <w:szCs w:val="20"/>
              </w:rPr>
              <w:t>профилактики рисков причинения вреда (ущерба) охраняемым законом ценностям в сфере муниципального жилищного контроля на 202</w:t>
            </w:r>
            <w:r w:rsidRPr="0005690F">
              <w:rPr>
                <w:sz w:val="20"/>
                <w:szCs w:val="20"/>
              </w:rPr>
              <w:t>4</w:t>
            </w:r>
            <w:r w:rsidRPr="0005690F">
              <w:rPr>
                <w:sz w:val="20"/>
                <w:szCs w:val="20"/>
              </w:rPr>
              <w:t xml:space="preserve"> год</w:t>
            </w:r>
            <w:r w:rsidRPr="0005690F">
              <w:rPr>
                <w:bCs/>
                <w:color w:val="000000"/>
                <w:sz w:val="20"/>
                <w:szCs w:val="20"/>
              </w:rPr>
              <w:t xml:space="preserve"> на территории Серебрянского сельского поселения Лужского муниципального района Ленинградской области</w:t>
            </w:r>
            <w:r w:rsidRPr="000569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1 октября 2023 г. (разработка);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20 декабря 2023 г.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(утверждение)</w:t>
            </w:r>
          </w:p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C247AA" w:rsidRPr="0005690F" w:rsidRDefault="00C247AA" w:rsidP="0005690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5690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247AA" w:rsidRPr="0005690F" w:rsidRDefault="00C247AA" w:rsidP="0005690F">
      <w:pPr>
        <w:rPr>
          <w:b/>
          <w:bCs/>
          <w:color w:val="000000"/>
        </w:rPr>
      </w:pPr>
    </w:p>
    <w:p w:rsidR="00C247AA" w:rsidRPr="0005690F" w:rsidRDefault="00C247AA" w:rsidP="0005690F">
      <w:pPr>
        <w:ind w:firstLine="225"/>
        <w:jc w:val="center"/>
        <w:rPr>
          <w:b/>
          <w:bCs/>
          <w:color w:val="000000"/>
        </w:rPr>
      </w:pPr>
      <w:r w:rsidRPr="0005690F">
        <w:rPr>
          <w:b/>
          <w:bCs/>
          <w:color w:val="000000"/>
        </w:rPr>
        <w:t>V. Показатели результативности и эффективности Программы</w:t>
      </w:r>
    </w:p>
    <w:p w:rsidR="00C247AA" w:rsidRPr="0005690F" w:rsidRDefault="00C247AA" w:rsidP="0005690F">
      <w:pPr>
        <w:rPr>
          <w:color w:val="000000"/>
        </w:rPr>
      </w:pPr>
    </w:p>
    <w:p w:rsidR="00C247AA" w:rsidRPr="0005690F" w:rsidRDefault="00C247AA" w:rsidP="0005690F">
      <w:pPr>
        <w:pStyle w:val="a4"/>
        <w:ind w:left="0" w:firstLine="720"/>
        <w:jc w:val="both"/>
        <w:rPr>
          <w:bCs/>
        </w:rPr>
      </w:pPr>
      <w:r w:rsidRPr="0005690F">
        <w:rPr>
          <w:bCs/>
        </w:rPr>
        <w:t>Основными показателями эффективности и результативности я</w:t>
      </w:r>
      <w:r w:rsidRPr="0005690F">
        <w:rPr>
          <w:bCs/>
        </w:rPr>
        <w:t>в</w:t>
      </w:r>
      <w:r w:rsidRPr="0005690F">
        <w:rPr>
          <w:bCs/>
        </w:rPr>
        <w:t>ляются:</w:t>
      </w:r>
    </w:p>
    <w:p w:rsidR="00C247AA" w:rsidRPr="0005690F" w:rsidRDefault="00C247AA" w:rsidP="0005690F">
      <w:pPr>
        <w:pStyle w:val="a4"/>
        <w:ind w:left="0" w:firstLine="851"/>
        <w:jc w:val="both"/>
        <w:rPr>
          <w:bCs/>
        </w:rPr>
      </w:pPr>
      <w:r w:rsidRPr="0005690F">
        <w:rPr>
          <w:bCs/>
        </w:rPr>
        <w:t>- количество проведенных профилактических мероприятий;</w:t>
      </w:r>
    </w:p>
    <w:p w:rsidR="00C247AA" w:rsidRPr="0005690F" w:rsidRDefault="00C247AA" w:rsidP="0005690F">
      <w:pPr>
        <w:pStyle w:val="a4"/>
        <w:ind w:left="0" w:firstLine="851"/>
        <w:jc w:val="both"/>
        <w:rPr>
          <w:bCs/>
        </w:rPr>
      </w:pPr>
      <w:r w:rsidRPr="0005690F">
        <w:rPr>
          <w:bCs/>
        </w:rPr>
        <w:t>- количество контролируемых лиц, в отношении которых проведены профилактические мер</w:t>
      </w:r>
      <w:r w:rsidRPr="0005690F">
        <w:rPr>
          <w:bCs/>
        </w:rPr>
        <w:t>о</w:t>
      </w:r>
      <w:r w:rsidRPr="0005690F">
        <w:rPr>
          <w:bCs/>
        </w:rPr>
        <w:t>приятия;</w:t>
      </w:r>
    </w:p>
    <w:p w:rsidR="00C247AA" w:rsidRPr="0005690F" w:rsidRDefault="00C247AA" w:rsidP="0005690F">
      <w:pPr>
        <w:pStyle w:val="a4"/>
        <w:ind w:left="0" w:firstLine="851"/>
        <w:jc w:val="both"/>
        <w:rPr>
          <w:bCs/>
        </w:rPr>
      </w:pPr>
      <w:r w:rsidRPr="0005690F">
        <w:rPr>
          <w:bCs/>
        </w:rPr>
        <w:t>- доля объектов капитального строительства, на которых проведены профилактические мер</w:t>
      </w:r>
      <w:r w:rsidRPr="0005690F">
        <w:rPr>
          <w:bCs/>
        </w:rPr>
        <w:t>о</w:t>
      </w:r>
      <w:r w:rsidRPr="0005690F">
        <w:rPr>
          <w:bCs/>
        </w:rPr>
        <w:t>приятия, от общего количества поднадзорных объектов (устанавливается в проце</w:t>
      </w:r>
      <w:r w:rsidRPr="0005690F">
        <w:rPr>
          <w:bCs/>
        </w:rPr>
        <w:t>н</w:t>
      </w:r>
      <w:r w:rsidRPr="0005690F">
        <w:rPr>
          <w:bCs/>
        </w:rPr>
        <w:t>тах).</w:t>
      </w:r>
    </w:p>
    <w:p w:rsidR="00C247AA" w:rsidRPr="0005690F" w:rsidRDefault="00C247AA" w:rsidP="0005690F">
      <w:pPr>
        <w:pStyle w:val="a4"/>
        <w:ind w:left="0" w:firstLine="851"/>
        <w:jc w:val="both"/>
        <w:rPr>
          <w:strike/>
        </w:rPr>
      </w:pPr>
      <w:r w:rsidRPr="0005690F">
        <w:rPr>
          <w:bCs/>
        </w:rPr>
        <w:t>Основным механизмом оценки эффективности и результативности профилактических мероприятий я</w:t>
      </w:r>
      <w:r w:rsidRPr="0005690F">
        <w:rPr>
          <w:bCs/>
        </w:rPr>
        <w:t>в</w:t>
      </w:r>
      <w:r w:rsidRPr="0005690F">
        <w:rPr>
          <w:bCs/>
        </w:rPr>
        <w:t>ляется увеличение количества профилактических мероприятий и как следствие снижение кол</w:t>
      </w:r>
      <w:r w:rsidRPr="0005690F">
        <w:rPr>
          <w:bCs/>
        </w:rPr>
        <w:t>и</w:t>
      </w:r>
      <w:r w:rsidRPr="0005690F">
        <w:rPr>
          <w:bCs/>
        </w:rPr>
        <w:t>чества нарушений обязател</w:t>
      </w:r>
      <w:r w:rsidRPr="0005690F">
        <w:rPr>
          <w:bCs/>
        </w:rPr>
        <w:t>ь</w:t>
      </w:r>
      <w:r w:rsidRPr="0005690F">
        <w:rPr>
          <w:bCs/>
        </w:rPr>
        <w:t xml:space="preserve">ных требований. </w:t>
      </w:r>
    </w:p>
    <w:p w:rsidR="00C247AA" w:rsidRPr="0005690F" w:rsidRDefault="00C247AA" w:rsidP="0005690F">
      <w:pPr>
        <w:ind w:firstLine="709"/>
        <w:jc w:val="both"/>
      </w:pPr>
      <w:r w:rsidRPr="0005690F">
        <w:t>Перечень уполномоченных лиц, ответственных за организацию и проведение профилактических меропр</w:t>
      </w:r>
      <w:r w:rsidRPr="0005690F">
        <w:t>и</w:t>
      </w:r>
      <w:r w:rsidRPr="0005690F">
        <w:t xml:space="preserve">ятий Программы на 2023 год приведен в таблице № 2. </w:t>
      </w:r>
    </w:p>
    <w:p w:rsidR="00C247AA" w:rsidRPr="0005690F" w:rsidRDefault="00C247AA" w:rsidP="0005690F">
      <w:pPr>
        <w:ind w:firstLine="709"/>
        <w:jc w:val="both"/>
      </w:pPr>
      <w:r w:rsidRPr="0005690F">
        <w:t xml:space="preserve">Текущее управление и контроль за ходом реализации Программы осуществляет </w:t>
      </w:r>
      <w:r w:rsidRPr="0005690F">
        <w:rPr>
          <w:color w:val="000000"/>
        </w:rPr>
        <w:t xml:space="preserve">Администрация </w:t>
      </w:r>
      <w:r w:rsidRPr="0005690F">
        <w:rPr>
          <w:color w:val="000000"/>
        </w:rPr>
        <w:t>Серебрянского</w:t>
      </w:r>
      <w:r w:rsidRPr="0005690F">
        <w:rPr>
          <w:color w:val="000000"/>
        </w:rPr>
        <w:t xml:space="preserve"> сельского поселения Лужского муниципального района Ленинградской о</w:t>
      </w:r>
      <w:r w:rsidRPr="0005690F">
        <w:rPr>
          <w:color w:val="000000"/>
        </w:rPr>
        <w:t>б</w:t>
      </w:r>
      <w:r w:rsidRPr="0005690F">
        <w:rPr>
          <w:color w:val="000000"/>
        </w:rPr>
        <w:t>ласти</w:t>
      </w:r>
      <w:r w:rsidRPr="0005690F">
        <w:t xml:space="preserve">. </w:t>
      </w:r>
    </w:p>
    <w:p w:rsidR="00C247AA" w:rsidRPr="0005690F" w:rsidRDefault="00C247AA" w:rsidP="0005690F">
      <w:pPr>
        <w:ind w:firstLine="709"/>
        <w:jc w:val="both"/>
      </w:pPr>
      <w:r w:rsidRPr="0005690F">
        <w:t>Мониторинг реализации Программы осуществляется на регулярной о</w:t>
      </w:r>
      <w:r w:rsidRPr="0005690F">
        <w:t>с</w:t>
      </w:r>
      <w:r w:rsidRPr="0005690F">
        <w:t>нове.</w:t>
      </w:r>
    </w:p>
    <w:p w:rsidR="0005690F" w:rsidRDefault="00C247AA" w:rsidP="0017569C">
      <w:pPr>
        <w:ind w:firstLine="709"/>
        <w:jc w:val="both"/>
      </w:pPr>
      <w:r w:rsidRPr="0005690F">
        <w:t>Результаты профилактической работы включаются в ежегодные доклады об осуществлении муниципал</w:t>
      </w:r>
      <w:r w:rsidRPr="0005690F">
        <w:t>ь</w:t>
      </w:r>
      <w:r w:rsidRPr="0005690F">
        <w:t xml:space="preserve">ного жилищного контроля на территории муниципального образования </w:t>
      </w:r>
      <w:r w:rsidRPr="0005690F">
        <w:t>Серебрянское</w:t>
      </w:r>
      <w:r w:rsidRPr="0005690F">
        <w:t xml:space="preserve"> сельское поселение Лужского муниципального района Ленинградской области и в виде отдельного информац</w:t>
      </w:r>
      <w:r w:rsidRPr="0005690F">
        <w:t>и</w:t>
      </w:r>
      <w:r w:rsidRPr="0005690F">
        <w:t xml:space="preserve">онного сообщения размещаются на официальном сайте Администрации </w:t>
      </w:r>
      <w:r w:rsidRPr="0005690F">
        <w:rPr>
          <w:color w:val="000000"/>
        </w:rPr>
        <w:t>Серебрянского</w:t>
      </w:r>
      <w:r w:rsidRPr="0005690F">
        <w:rPr>
          <w:color w:val="000000"/>
        </w:rPr>
        <w:t xml:space="preserve"> сельского поселения </w:t>
      </w:r>
      <w:r w:rsidRPr="0005690F">
        <w:t>Лужского муниципального района Л</w:t>
      </w:r>
      <w:r w:rsidRPr="0005690F">
        <w:t>е</w:t>
      </w:r>
      <w:r w:rsidRPr="0005690F">
        <w:t>нинградской области в информационно-коммуникационной с</w:t>
      </w:r>
      <w:r w:rsidRPr="0005690F">
        <w:t>е</w:t>
      </w:r>
      <w:r w:rsidRPr="0005690F">
        <w:t>ти «Интернет».</w:t>
      </w:r>
    </w:p>
    <w:p w:rsidR="00C247AA" w:rsidRPr="0005690F" w:rsidRDefault="00C247AA" w:rsidP="0005690F">
      <w:pPr>
        <w:ind w:right="191"/>
        <w:jc w:val="right"/>
      </w:pPr>
      <w:r w:rsidRPr="0005690F">
        <w:t>Таблица № 2</w:t>
      </w:r>
    </w:p>
    <w:p w:rsidR="00C247AA" w:rsidRPr="0005690F" w:rsidRDefault="00C247AA" w:rsidP="0005690F">
      <w:pPr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2210"/>
        <w:gridCol w:w="2163"/>
        <w:gridCol w:w="2838"/>
        <w:gridCol w:w="2431"/>
      </w:tblGrid>
      <w:tr w:rsidR="0005690F" w:rsidRPr="0005690F" w:rsidTr="0055729A">
        <w:trPr>
          <w:trHeight w:val="433"/>
          <w:tblHeader/>
        </w:trPr>
        <w:tc>
          <w:tcPr>
            <w:tcW w:w="332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№ п/п</w:t>
            </w:r>
          </w:p>
        </w:tc>
        <w:tc>
          <w:tcPr>
            <w:tcW w:w="1070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ФИО</w:t>
            </w:r>
          </w:p>
          <w:p w:rsidR="0005690F" w:rsidRPr="0005690F" w:rsidRDefault="0005690F" w:rsidP="0005690F">
            <w:pPr>
              <w:jc w:val="center"/>
              <w:rPr>
                <w:sz w:val="22"/>
              </w:rPr>
            </w:pPr>
          </w:p>
        </w:tc>
        <w:tc>
          <w:tcPr>
            <w:tcW w:w="1047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Должность</w:t>
            </w:r>
          </w:p>
        </w:tc>
        <w:tc>
          <w:tcPr>
            <w:tcW w:w="1374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Функции</w:t>
            </w:r>
          </w:p>
        </w:tc>
        <w:tc>
          <w:tcPr>
            <w:tcW w:w="1177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Контакты</w:t>
            </w:r>
          </w:p>
        </w:tc>
      </w:tr>
      <w:tr w:rsidR="0005690F" w:rsidRPr="0005690F" w:rsidTr="0055729A">
        <w:trPr>
          <w:trHeight w:val="433"/>
          <w:tblHeader/>
        </w:trPr>
        <w:tc>
          <w:tcPr>
            <w:tcW w:w="332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1</w:t>
            </w:r>
          </w:p>
        </w:tc>
        <w:tc>
          <w:tcPr>
            <w:tcW w:w="1070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Пальок Светлана Александровна</w:t>
            </w:r>
          </w:p>
        </w:tc>
        <w:tc>
          <w:tcPr>
            <w:tcW w:w="1047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Глава администрации Серебрянского сельского поселения</w:t>
            </w:r>
          </w:p>
        </w:tc>
        <w:tc>
          <w:tcPr>
            <w:tcW w:w="1374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177" w:type="pct"/>
            <w:vAlign w:val="center"/>
          </w:tcPr>
          <w:p w:rsidR="0005690F" w:rsidRPr="0005690F" w:rsidRDefault="0005690F" w:rsidP="0005690F">
            <w:pPr>
              <w:jc w:val="center"/>
              <w:rPr>
                <w:sz w:val="22"/>
              </w:rPr>
            </w:pPr>
            <w:r w:rsidRPr="0005690F">
              <w:rPr>
                <w:sz w:val="22"/>
              </w:rPr>
              <w:t>8 (81372) 59-258</w:t>
            </w:r>
          </w:p>
        </w:tc>
      </w:tr>
    </w:tbl>
    <w:p w:rsidR="00C247AA" w:rsidRPr="0005690F" w:rsidRDefault="00C247AA" w:rsidP="0005690F">
      <w:pPr>
        <w:ind w:firstLine="709"/>
        <w:jc w:val="both"/>
      </w:pPr>
    </w:p>
    <w:p w:rsidR="00C247AA" w:rsidRPr="0005690F" w:rsidRDefault="00C247AA" w:rsidP="0005690F">
      <w:pPr>
        <w:ind w:firstLine="709"/>
        <w:jc w:val="both"/>
      </w:pPr>
      <w:r w:rsidRPr="0005690F">
        <w:t>Ожидаемый результат Программы - снижение количества выявленных нарушений обяз</w:t>
      </w:r>
      <w:r w:rsidRPr="0005690F">
        <w:t>а</w:t>
      </w:r>
      <w:r w:rsidRPr="0005690F">
        <w:t>тельных требований, требований, установленных муниципальными правовыми актами при увеличении колич</w:t>
      </w:r>
      <w:r w:rsidRPr="0005690F">
        <w:t>е</w:t>
      </w:r>
      <w:r w:rsidRPr="0005690F">
        <w:t>ства и качества пров</w:t>
      </w:r>
      <w:r w:rsidRPr="0005690F">
        <w:t>о</w:t>
      </w:r>
      <w:r w:rsidRPr="0005690F">
        <w:t>димых профилактических мероприятий.</w:t>
      </w:r>
    </w:p>
    <w:p w:rsidR="00C247AA" w:rsidRPr="0005690F" w:rsidRDefault="00C247AA" w:rsidP="0005690F">
      <w:pPr>
        <w:ind w:firstLine="709"/>
        <w:jc w:val="both"/>
      </w:pPr>
      <w:r w:rsidRPr="0005690F">
        <w:t>Методика оценки эффективности профилактических мероприятий предназначена сп</w:t>
      </w:r>
      <w:r w:rsidRPr="0005690F">
        <w:t>о</w:t>
      </w:r>
      <w:r w:rsidRPr="0005690F">
        <w:t xml:space="preserve">собствовать максимальному достижению общественно значимых результатов </w:t>
      </w:r>
      <w:proofErr w:type="gramStart"/>
      <w:r w:rsidRPr="0005690F">
        <w:t>снижения</w:t>
      </w:r>
      <w:proofErr w:type="gramEnd"/>
      <w:r w:rsidRPr="0005690F">
        <w:t xml:space="preserve"> причиняемого подко</w:t>
      </w:r>
      <w:r w:rsidRPr="0005690F">
        <w:t>н</w:t>
      </w:r>
      <w:r w:rsidRPr="0005690F">
        <w:t>трольными субъектами вреда (ущерба) охраняемым законом ценностям при проведении профилактич</w:t>
      </w:r>
      <w:r w:rsidRPr="0005690F">
        <w:t>е</w:t>
      </w:r>
      <w:r w:rsidRPr="0005690F">
        <w:t>ских мероприятий.</w:t>
      </w:r>
    </w:p>
    <w:p w:rsidR="00C247AA" w:rsidRPr="0005690F" w:rsidRDefault="00C247AA" w:rsidP="0005690F">
      <w:pPr>
        <w:ind w:firstLine="709"/>
        <w:jc w:val="both"/>
      </w:pPr>
      <w:r w:rsidRPr="0005690F">
        <w:t>Целевые показатели результативности мероприятий Программы по муниципальному ж</w:t>
      </w:r>
      <w:r w:rsidRPr="0005690F">
        <w:t>и</w:t>
      </w:r>
      <w:r w:rsidRPr="0005690F">
        <w:t>лищному контролю:</w:t>
      </w:r>
    </w:p>
    <w:p w:rsidR="00C247AA" w:rsidRPr="0005690F" w:rsidRDefault="00C247AA" w:rsidP="0005690F">
      <w:pPr>
        <w:ind w:firstLine="709"/>
        <w:jc w:val="both"/>
      </w:pPr>
      <w:r w:rsidRPr="0005690F">
        <w:lastRenderedPageBreak/>
        <w:t xml:space="preserve">1) Количество выявленных нарушений требований законодательства в сфере муниципального жилищного контроля на территории муниципального образования </w:t>
      </w:r>
      <w:r w:rsidRPr="0005690F">
        <w:t>Серебрянское</w:t>
      </w:r>
      <w:r w:rsidRPr="0005690F">
        <w:t xml:space="preserve"> сельское поселение Лу</w:t>
      </w:r>
      <w:r w:rsidRPr="0005690F">
        <w:t>ж</w:t>
      </w:r>
      <w:r w:rsidRPr="0005690F">
        <w:t>ского муниципального района Ленинградской области, шт.</w:t>
      </w:r>
    </w:p>
    <w:p w:rsidR="00C247AA" w:rsidRPr="0005690F" w:rsidRDefault="00C247AA" w:rsidP="0005690F">
      <w:pPr>
        <w:ind w:firstLine="709"/>
        <w:jc w:val="both"/>
      </w:pPr>
      <w:r w:rsidRPr="0005690F">
        <w:t>2) Количество проведенных профилактических мероприятий (информирование контр</w:t>
      </w:r>
      <w:r w:rsidRPr="0005690F">
        <w:t>о</w:t>
      </w:r>
      <w:r w:rsidRPr="0005690F">
        <w:t>лируемых лиц и иных заинтересованных лиц по вопросам соблюдения обязательных тр</w:t>
      </w:r>
      <w:r w:rsidRPr="0005690F">
        <w:t>е</w:t>
      </w:r>
      <w:r w:rsidRPr="0005690F">
        <w:t xml:space="preserve">бований законодательства в сфере муниципального жилищного контроля на территории муниципального образования </w:t>
      </w:r>
      <w:r w:rsidRPr="0005690F">
        <w:t>Серебрянское</w:t>
      </w:r>
      <w:r w:rsidRPr="0005690F">
        <w:t xml:space="preserve"> сельское поселение Лужского муниципального района Ленинградской о</w:t>
      </w:r>
      <w:r w:rsidRPr="0005690F">
        <w:t>б</w:t>
      </w:r>
      <w:r w:rsidRPr="0005690F">
        <w:t>ласти посредством публикации в средствах массовой информации и на официальном сайте; обобщение правоприменительной практ</w:t>
      </w:r>
      <w:r w:rsidRPr="0005690F">
        <w:t>и</w:t>
      </w:r>
      <w:r w:rsidRPr="0005690F">
        <w:t>ки; объявление предостережения, консультирования, профилактического виз</w:t>
      </w:r>
      <w:r w:rsidRPr="0005690F">
        <w:t>и</w:t>
      </w:r>
      <w:r w:rsidRPr="0005690F">
        <w:t>та и пр.).</w:t>
      </w:r>
    </w:p>
    <w:p w:rsidR="00C247AA" w:rsidRPr="0005690F" w:rsidRDefault="00C247AA" w:rsidP="0005690F">
      <w:pPr>
        <w:ind w:firstLine="709"/>
        <w:jc w:val="both"/>
      </w:pPr>
      <w:r w:rsidRPr="0005690F">
        <w:t>Показатели эффективности:</w:t>
      </w:r>
    </w:p>
    <w:p w:rsidR="00C247AA" w:rsidRPr="0005690F" w:rsidRDefault="00C247AA" w:rsidP="0005690F">
      <w:pPr>
        <w:ind w:firstLine="709"/>
        <w:jc w:val="both"/>
      </w:pPr>
      <w:r w:rsidRPr="0005690F">
        <w:t>1) Снижение количества выявленных при проведении контрольно-надзорных мероприятий нарушений требований законодател</w:t>
      </w:r>
      <w:r w:rsidRPr="0005690F">
        <w:t>ь</w:t>
      </w:r>
      <w:r w:rsidRPr="0005690F">
        <w:t xml:space="preserve">ства в сфере муниципального жилищного контроля на территории муниципального образования </w:t>
      </w:r>
      <w:r w:rsidRPr="0005690F">
        <w:t>Серебрянское</w:t>
      </w:r>
      <w:r w:rsidRPr="0005690F">
        <w:t xml:space="preserve"> сельское поселение Лужского муниципального района Лени</w:t>
      </w:r>
      <w:r w:rsidRPr="0005690F">
        <w:t>н</w:t>
      </w:r>
      <w:r w:rsidRPr="0005690F">
        <w:t>градской области.</w:t>
      </w:r>
    </w:p>
    <w:p w:rsidR="00C247AA" w:rsidRPr="0005690F" w:rsidRDefault="00C247AA" w:rsidP="0005690F">
      <w:pPr>
        <w:ind w:firstLine="709"/>
        <w:jc w:val="both"/>
      </w:pPr>
      <w:r w:rsidRPr="0005690F">
        <w:t>2) Количество проведенных профилактических мероприятий контрольным (надзорным) органом, ед.</w:t>
      </w:r>
    </w:p>
    <w:p w:rsidR="00C247AA" w:rsidRPr="0005690F" w:rsidRDefault="00C247AA" w:rsidP="0005690F">
      <w:pPr>
        <w:ind w:firstLine="709"/>
        <w:jc w:val="both"/>
      </w:pPr>
      <w:r w:rsidRPr="0005690F">
        <w:t>3) Доля профилактических мероприятий в объеме контрольно-надзорных меропри</w:t>
      </w:r>
      <w:r w:rsidRPr="0005690F">
        <w:t>я</w:t>
      </w:r>
      <w:r w:rsidRPr="0005690F">
        <w:t>тий, %.</w:t>
      </w:r>
    </w:p>
    <w:p w:rsidR="00C247AA" w:rsidRPr="0005690F" w:rsidRDefault="00C247AA" w:rsidP="0005690F">
      <w:pPr>
        <w:ind w:firstLine="709"/>
        <w:jc w:val="both"/>
      </w:pPr>
      <w:r w:rsidRPr="0005690F">
        <w:t>Показатель рассчитывается как отношение количества проведенных профилактических меропр</w:t>
      </w:r>
      <w:r w:rsidRPr="0005690F">
        <w:t>и</w:t>
      </w:r>
      <w:r w:rsidRPr="0005690F">
        <w:t>ятий к количеству проведенных контрольно-надзорных мероприятий. Ожидается ежегодный рост ук</w:t>
      </w:r>
      <w:r w:rsidRPr="0005690F">
        <w:t>а</w:t>
      </w:r>
      <w:r w:rsidRPr="0005690F">
        <w:t>занного показат</w:t>
      </w:r>
      <w:r w:rsidRPr="0005690F">
        <w:t>е</w:t>
      </w:r>
      <w:r w:rsidRPr="0005690F">
        <w:t>ля.</w:t>
      </w:r>
    </w:p>
    <w:p w:rsidR="00C247AA" w:rsidRPr="0005690F" w:rsidRDefault="00C247AA" w:rsidP="0005690F">
      <w:pPr>
        <w:ind w:firstLine="709"/>
        <w:jc w:val="both"/>
      </w:pPr>
      <w:r w:rsidRPr="0005690F">
        <w:t>Отчетным периодом для определения значений показателей является календарный год.</w:t>
      </w:r>
    </w:p>
    <w:p w:rsidR="00C247AA" w:rsidRPr="0005690F" w:rsidRDefault="00C247AA" w:rsidP="0005690F">
      <w:pPr>
        <w:ind w:firstLine="709"/>
        <w:jc w:val="both"/>
      </w:pPr>
      <w:r w:rsidRPr="0005690F"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C247AA" w:rsidRPr="0005690F" w:rsidRDefault="00C247AA" w:rsidP="0005690F">
      <w:pPr>
        <w:ind w:right="49"/>
        <w:jc w:val="right"/>
      </w:pPr>
      <w:r w:rsidRPr="0005690F">
        <w:t>Таблица № 3</w:t>
      </w:r>
    </w:p>
    <w:p w:rsidR="00C247AA" w:rsidRPr="0005690F" w:rsidRDefault="00C247AA" w:rsidP="0005690F">
      <w:pPr>
        <w:tabs>
          <w:tab w:val="left" w:pos="388"/>
        </w:tabs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2137"/>
        <w:gridCol w:w="1217"/>
        <w:gridCol w:w="1700"/>
        <w:gridCol w:w="514"/>
        <w:gridCol w:w="726"/>
        <w:gridCol w:w="855"/>
        <w:gridCol w:w="586"/>
        <w:gridCol w:w="500"/>
        <w:gridCol w:w="500"/>
        <w:gridCol w:w="500"/>
        <w:gridCol w:w="675"/>
      </w:tblGrid>
      <w:tr w:rsidR="00C247AA" w:rsidRPr="0005690F" w:rsidTr="0005690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Наименование меропри</w:t>
            </w:r>
            <w:r w:rsidRPr="0005690F">
              <w:rPr>
                <w:b/>
                <w:sz w:val="20"/>
                <w:lang w:eastAsia="ar-SA"/>
              </w:rPr>
              <w:t>я</w:t>
            </w:r>
            <w:r w:rsidRPr="0005690F">
              <w:rPr>
                <w:b/>
                <w:sz w:val="20"/>
                <w:lang w:eastAsia="ar-SA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Сроки исполн</w:t>
            </w:r>
            <w:r w:rsidRPr="0005690F">
              <w:rPr>
                <w:b/>
                <w:sz w:val="20"/>
                <w:lang w:eastAsia="ar-SA"/>
              </w:rPr>
              <w:t>е</w:t>
            </w:r>
            <w:r w:rsidRPr="0005690F">
              <w:rPr>
                <w:b/>
                <w:sz w:val="20"/>
                <w:lang w:eastAsia="ar-SA"/>
              </w:rPr>
              <w:t>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Показатели результатов деятельн</w:t>
            </w:r>
            <w:r w:rsidRPr="0005690F">
              <w:rPr>
                <w:b/>
                <w:sz w:val="20"/>
                <w:lang w:eastAsia="ar-SA"/>
              </w:rPr>
              <w:t>о</w:t>
            </w:r>
            <w:r w:rsidRPr="0005690F">
              <w:rPr>
                <w:b/>
                <w:sz w:val="20"/>
                <w:lang w:eastAsia="ar-SA"/>
              </w:rPr>
              <w:t>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Бюджетные ассигнования в ра</w:t>
            </w:r>
            <w:r w:rsidRPr="0005690F">
              <w:rPr>
                <w:b/>
                <w:sz w:val="20"/>
                <w:lang w:eastAsia="ar-SA"/>
              </w:rPr>
              <w:t>з</w:t>
            </w:r>
            <w:r w:rsidRPr="0005690F">
              <w:rPr>
                <w:b/>
                <w:sz w:val="20"/>
                <w:lang w:eastAsia="ar-SA"/>
              </w:rPr>
              <w:t>резе бю</w:t>
            </w:r>
            <w:r w:rsidRPr="0005690F">
              <w:rPr>
                <w:b/>
                <w:sz w:val="20"/>
                <w:lang w:eastAsia="ar-SA"/>
              </w:rPr>
              <w:t>д</w:t>
            </w:r>
            <w:r w:rsidRPr="0005690F">
              <w:rPr>
                <w:b/>
                <w:sz w:val="20"/>
                <w:lang w:eastAsia="ar-SA"/>
              </w:rPr>
              <w:t>жетов (расход), тыс. руб.</w:t>
            </w:r>
          </w:p>
        </w:tc>
      </w:tr>
      <w:tr w:rsidR="0005690F" w:rsidRPr="0005690F" w:rsidTr="000569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Наимен</w:t>
            </w:r>
            <w:r w:rsidRPr="0005690F">
              <w:rPr>
                <w:b/>
                <w:sz w:val="20"/>
                <w:lang w:eastAsia="ar-SA"/>
              </w:rPr>
              <w:t>о</w:t>
            </w:r>
            <w:r w:rsidRPr="0005690F">
              <w:rPr>
                <w:b/>
                <w:sz w:val="20"/>
                <w:lang w:eastAsia="ar-SA"/>
              </w:rPr>
              <w:t>вание п</w:t>
            </w:r>
            <w:r w:rsidRPr="0005690F">
              <w:rPr>
                <w:b/>
                <w:sz w:val="20"/>
                <w:lang w:eastAsia="ar-SA"/>
              </w:rPr>
              <w:t>о</w:t>
            </w:r>
            <w:r w:rsidRPr="0005690F">
              <w:rPr>
                <w:b/>
                <w:sz w:val="20"/>
                <w:lang w:eastAsia="ar-SA"/>
              </w:rPr>
              <w:t>каз</w:t>
            </w:r>
            <w:r w:rsidRPr="0005690F">
              <w:rPr>
                <w:b/>
                <w:sz w:val="20"/>
                <w:lang w:eastAsia="ar-SA"/>
              </w:rPr>
              <w:t>а</w:t>
            </w:r>
            <w:r w:rsidRPr="0005690F">
              <w:rPr>
                <w:b/>
                <w:sz w:val="20"/>
                <w:lang w:eastAsia="ar-SA"/>
              </w:rPr>
              <w:t>теля (*)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proofErr w:type="spellStart"/>
            <w:proofErr w:type="gramStart"/>
            <w:r w:rsidRPr="0005690F">
              <w:rPr>
                <w:b/>
                <w:sz w:val="20"/>
                <w:lang w:eastAsia="ar-SA"/>
              </w:rPr>
              <w:t>Пла</w:t>
            </w:r>
            <w:proofErr w:type="spellEnd"/>
            <w:r w:rsidRPr="0005690F">
              <w:rPr>
                <w:b/>
                <w:sz w:val="20"/>
                <w:lang w:eastAsia="ar-SA"/>
              </w:rPr>
              <w:t>-новое</w:t>
            </w:r>
            <w:proofErr w:type="gramEnd"/>
            <w:r w:rsidRPr="0005690F">
              <w:rPr>
                <w:b/>
                <w:sz w:val="20"/>
                <w:lang w:eastAsia="ar-SA"/>
              </w:rPr>
              <w:t xml:space="preserve"> </w:t>
            </w:r>
            <w:proofErr w:type="spellStart"/>
            <w:r w:rsidRPr="0005690F">
              <w:rPr>
                <w:b/>
                <w:sz w:val="20"/>
                <w:lang w:eastAsia="ar-SA"/>
              </w:rPr>
              <w:t>зн</w:t>
            </w:r>
            <w:r w:rsidRPr="0005690F">
              <w:rPr>
                <w:b/>
                <w:sz w:val="20"/>
                <w:lang w:eastAsia="ar-SA"/>
              </w:rPr>
              <w:t>а</w:t>
            </w:r>
            <w:r w:rsidRPr="0005690F">
              <w:rPr>
                <w:b/>
                <w:sz w:val="20"/>
                <w:lang w:eastAsia="ar-SA"/>
              </w:rPr>
              <w:t>че-ние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Фак-</w:t>
            </w:r>
            <w:proofErr w:type="spellStart"/>
            <w:r w:rsidRPr="0005690F">
              <w:rPr>
                <w:b/>
                <w:sz w:val="20"/>
                <w:lang w:eastAsia="ar-SA"/>
              </w:rPr>
              <w:t>тическ</w:t>
            </w:r>
            <w:proofErr w:type="spellEnd"/>
            <w:r w:rsidRPr="0005690F">
              <w:rPr>
                <w:b/>
                <w:sz w:val="20"/>
                <w:lang w:eastAsia="ar-SA"/>
              </w:rPr>
              <w:t>-</w:t>
            </w:r>
            <w:proofErr w:type="spellStart"/>
            <w:r w:rsidRPr="0005690F">
              <w:rPr>
                <w:b/>
                <w:sz w:val="20"/>
                <w:lang w:eastAsia="ar-SA"/>
              </w:rPr>
              <w:t>ое</w:t>
            </w:r>
            <w:proofErr w:type="spellEnd"/>
            <w:r w:rsidRPr="0005690F">
              <w:rPr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05690F">
              <w:rPr>
                <w:b/>
                <w:sz w:val="20"/>
                <w:lang w:eastAsia="ar-SA"/>
              </w:rPr>
              <w:t>зн</w:t>
            </w:r>
            <w:r w:rsidRPr="0005690F">
              <w:rPr>
                <w:b/>
                <w:sz w:val="20"/>
                <w:lang w:eastAsia="ar-SA"/>
              </w:rPr>
              <w:t>а</w:t>
            </w:r>
            <w:r w:rsidRPr="0005690F">
              <w:rPr>
                <w:b/>
                <w:sz w:val="20"/>
                <w:lang w:eastAsia="ar-SA"/>
              </w:rPr>
              <w:t>че-ние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proofErr w:type="spellStart"/>
            <w:r w:rsidRPr="0005690F">
              <w:rPr>
                <w:b/>
                <w:sz w:val="20"/>
                <w:lang w:eastAsia="ar-SA"/>
              </w:rPr>
              <w:t>Отк</w:t>
            </w:r>
            <w:proofErr w:type="spellEnd"/>
            <w:r w:rsidRPr="0005690F">
              <w:rPr>
                <w:b/>
                <w:sz w:val="20"/>
                <w:lang w:eastAsia="ar-SA"/>
              </w:rPr>
              <w:t>-</w:t>
            </w:r>
            <w:proofErr w:type="spellStart"/>
            <w:r w:rsidRPr="0005690F">
              <w:rPr>
                <w:b/>
                <w:sz w:val="20"/>
                <w:lang w:eastAsia="ar-SA"/>
              </w:rPr>
              <w:t>ло</w:t>
            </w:r>
            <w:proofErr w:type="spellEnd"/>
            <w:r w:rsidRPr="0005690F">
              <w:rPr>
                <w:b/>
                <w:sz w:val="20"/>
                <w:lang w:eastAsia="ar-SA"/>
              </w:rPr>
              <w:t>-не-</w:t>
            </w:r>
            <w:proofErr w:type="spellStart"/>
            <w:r w:rsidRPr="0005690F">
              <w:rPr>
                <w:b/>
                <w:sz w:val="20"/>
                <w:lang w:eastAsia="ar-SA"/>
              </w:rPr>
              <w:t>ние</w:t>
            </w:r>
            <w:proofErr w:type="spellEnd"/>
            <w:r w:rsidRPr="0005690F">
              <w:rPr>
                <w:b/>
                <w:sz w:val="20"/>
                <w:lang w:eastAsia="ar-SA"/>
              </w:rPr>
              <w:t xml:space="preserve">, </w:t>
            </w:r>
          </w:p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(-/+,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b/>
                <w:sz w:val="20"/>
                <w:lang w:eastAsia="ar-SA"/>
              </w:rPr>
            </w:pPr>
            <w:r w:rsidRPr="0005690F">
              <w:rPr>
                <w:b/>
                <w:sz w:val="20"/>
                <w:lang w:eastAsia="ar-SA"/>
              </w:rPr>
              <w:t>Иные</w:t>
            </w:r>
          </w:p>
        </w:tc>
      </w:tr>
      <w:tr w:rsidR="0005690F" w:rsidRPr="0005690F" w:rsidTr="0005690F">
        <w:trPr>
          <w:trHeight w:val="2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rPr>
                <w:sz w:val="20"/>
                <w:lang w:eastAsia="ar-SA"/>
              </w:rPr>
            </w:pPr>
            <w:r w:rsidRPr="0005690F">
              <w:rPr>
                <w:sz w:val="2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rPr>
                <w:sz w:val="20"/>
              </w:rPr>
            </w:pPr>
          </w:p>
          <w:p w:rsidR="00C247AA" w:rsidRPr="0005690F" w:rsidRDefault="00C247AA" w:rsidP="0005690F">
            <w:pPr>
              <w:rPr>
                <w:sz w:val="20"/>
              </w:rPr>
            </w:pPr>
            <w:r w:rsidRPr="0005690F">
              <w:rPr>
                <w:sz w:val="20"/>
              </w:rPr>
              <w:t>Программа (План)</w:t>
            </w:r>
          </w:p>
          <w:p w:rsidR="00C247AA" w:rsidRPr="0005690F" w:rsidRDefault="0005690F" w:rsidP="0005690F">
            <w:pPr>
              <w:rPr>
                <w:sz w:val="20"/>
                <w:lang w:eastAsia="ar-SA"/>
              </w:rPr>
            </w:pPr>
            <w:r w:rsidRPr="0005690F">
              <w:rPr>
                <w:sz w:val="20"/>
              </w:rPr>
              <w:t>профилактики рисков причинения вреда (ущерба) охраняемым законом ценностям в сфере муниципального жилищного контроля на 202</w:t>
            </w:r>
            <w:r w:rsidRPr="0005690F">
              <w:rPr>
                <w:sz w:val="20"/>
              </w:rPr>
              <w:t>3</w:t>
            </w:r>
            <w:r w:rsidRPr="0005690F">
              <w:rPr>
                <w:sz w:val="20"/>
              </w:rPr>
              <w:t xml:space="preserve"> год</w:t>
            </w:r>
            <w:r w:rsidRPr="0005690F">
              <w:rPr>
                <w:bCs/>
                <w:color w:val="000000"/>
                <w:sz w:val="20"/>
              </w:rPr>
              <w:t xml:space="preserve"> на территории Серебрянского сельского поселения Лужского муниципального района Ленинградской области</w:t>
            </w:r>
            <w:r w:rsidRPr="0005690F"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  <w:r w:rsidRPr="0005690F">
              <w:rPr>
                <w:sz w:val="20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suppressLineNumbers/>
              <w:snapToGrid w:val="0"/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suppressLineNumbers/>
              <w:snapToGrid w:val="0"/>
              <w:rPr>
                <w:sz w:val="20"/>
                <w:lang w:eastAsia="ar-SA"/>
              </w:rPr>
            </w:pPr>
            <w:r w:rsidRPr="0005690F">
              <w:rPr>
                <w:sz w:val="20"/>
                <w:lang w:eastAsia="ar-SA"/>
              </w:rPr>
              <w:t>Выполн</w:t>
            </w:r>
            <w:r w:rsidRPr="0005690F">
              <w:rPr>
                <w:sz w:val="20"/>
                <w:lang w:eastAsia="ar-SA"/>
              </w:rPr>
              <w:t>е</w:t>
            </w:r>
            <w:r w:rsidRPr="0005690F">
              <w:rPr>
                <w:sz w:val="20"/>
                <w:lang w:eastAsia="ar-SA"/>
              </w:rPr>
              <w:t>ние запланир</w:t>
            </w:r>
            <w:r w:rsidRPr="0005690F">
              <w:rPr>
                <w:sz w:val="20"/>
                <w:lang w:eastAsia="ar-SA"/>
              </w:rPr>
              <w:t>о</w:t>
            </w:r>
            <w:r w:rsidRPr="0005690F">
              <w:rPr>
                <w:sz w:val="20"/>
                <w:lang w:eastAsia="ar-SA"/>
              </w:rPr>
              <w:t>ванных меропри</w:t>
            </w:r>
            <w:r w:rsidRPr="0005690F">
              <w:rPr>
                <w:sz w:val="20"/>
                <w:lang w:eastAsia="ar-SA"/>
              </w:rPr>
              <w:t>я</w:t>
            </w:r>
            <w:r w:rsidRPr="0005690F">
              <w:rPr>
                <w:sz w:val="20"/>
                <w:lang w:eastAsia="ar-SA"/>
              </w:rPr>
              <w:t>тий</w:t>
            </w:r>
          </w:p>
          <w:p w:rsidR="00C247AA" w:rsidRPr="0005690F" w:rsidRDefault="00C247AA" w:rsidP="0005690F">
            <w:pPr>
              <w:suppressLineNumber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  <w:r w:rsidRPr="0005690F">
              <w:rPr>
                <w:sz w:val="20"/>
                <w:lang w:eastAsia="ar-SA"/>
              </w:rPr>
              <w:t>%</w:t>
            </w:r>
          </w:p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  <w:r w:rsidRPr="0005690F">
              <w:rPr>
                <w:sz w:val="20"/>
                <w:lang w:eastAsia="ar-SA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  <w:r w:rsidRPr="0005690F">
              <w:rPr>
                <w:sz w:val="2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  <w:r w:rsidRPr="0005690F">
              <w:rPr>
                <w:sz w:val="2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  <w:r w:rsidRPr="0005690F">
              <w:rPr>
                <w:sz w:val="2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</w:p>
          <w:p w:rsidR="00C247AA" w:rsidRPr="0005690F" w:rsidRDefault="00C247AA" w:rsidP="0005690F">
            <w:pPr>
              <w:jc w:val="center"/>
              <w:rPr>
                <w:sz w:val="20"/>
                <w:lang w:eastAsia="ar-SA"/>
              </w:rPr>
            </w:pPr>
            <w:r w:rsidRPr="0005690F">
              <w:rPr>
                <w:sz w:val="20"/>
                <w:lang w:eastAsia="ar-SA"/>
              </w:rPr>
              <w:t>0,00</w:t>
            </w:r>
          </w:p>
        </w:tc>
      </w:tr>
    </w:tbl>
    <w:p w:rsidR="00C247AA" w:rsidRPr="0005690F" w:rsidRDefault="00C247AA" w:rsidP="0005690F">
      <w:pPr>
        <w:ind w:firstLine="709"/>
        <w:jc w:val="both"/>
      </w:pPr>
    </w:p>
    <w:p w:rsidR="00A16CEC" w:rsidRPr="0005690F" w:rsidRDefault="00A16CEC" w:rsidP="0005690F">
      <w:pPr>
        <w:adjustRightInd w:val="0"/>
        <w:jc w:val="right"/>
        <w:outlineLvl w:val="0"/>
      </w:pPr>
    </w:p>
    <w:sectPr w:rsidR="00A16CEC" w:rsidRPr="0005690F" w:rsidSect="000569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0E0214"/>
    <w:multiLevelType w:val="hybridMultilevel"/>
    <w:tmpl w:val="866E9406"/>
    <w:lvl w:ilvl="0" w:tplc="595C7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40500AD3"/>
    <w:multiLevelType w:val="hybridMultilevel"/>
    <w:tmpl w:val="6E38EA76"/>
    <w:lvl w:ilvl="0" w:tplc="293EBC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4A29B0"/>
    <w:multiLevelType w:val="hybridMultilevel"/>
    <w:tmpl w:val="E2D6C0D2"/>
    <w:lvl w:ilvl="0" w:tplc="B83C620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984534"/>
    <w:multiLevelType w:val="multilevel"/>
    <w:tmpl w:val="780289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0D50AB4"/>
    <w:multiLevelType w:val="hybridMultilevel"/>
    <w:tmpl w:val="B3122612"/>
    <w:lvl w:ilvl="0" w:tplc="262EF99E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6C996B6F"/>
    <w:multiLevelType w:val="hybridMultilevel"/>
    <w:tmpl w:val="174283D2"/>
    <w:lvl w:ilvl="0" w:tplc="0F22E05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47"/>
    <w:rsid w:val="00010B75"/>
    <w:rsid w:val="00045578"/>
    <w:rsid w:val="00046DA7"/>
    <w:rsid w:val="00053245"/>
    <w:rsid w:val="0005690F"/>
    <w:rsid w:val="00060137"/>
    <w:rsid w:val="000A01FF"/>
    <w:rsid w:val="000B25BF"/>
    <w:rsid w:val="000C546C"/>
    <w:rsid w:val="000E5F60"/>
    <w:rsid w:val="000F4242"/>
    <w:rsid w:val="0011374B"/>
    <w:rsid w:val="001167CF"/>
    <w:rsid w:val="00133CCD"/>
    <w:rsid w:val="00154A30"/>
    <w:rsid w:val="0017569C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268C4"/>
    <w:rsid w:val="00346518"/>
    <w:rsid w:val="00346E40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36C2B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322CC"/>
    <w:rsid w:val="00956D3F"/>
    <w:rsid w:val="00961EBA"/>
    <w:rsid w:val="00975EF9"/>
    <w:rsid w:val="009765FC"/>
    <w:rsid w:val="00985012"/>
    <w:rsid w:val="009969C2"/>
    <w:rsid w:val="00997178"/>
    <w:rsid w:val="009B1D07"/>
    <w:rsid w:val="009B2314"/>
    <w:rsid w:val="009B6FFB"/>
    <w:rsid w:val="009C304F"/>
    <w:rsid w:val="009D0F34"/>
    <w:rsid w:val="009F000A"/>
    <w:rsid w:val="009F01F7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A75A3"/>
    <w:rsid w:val="00AB33B0"/>
    <w:rsid w:val="00AB6F1D"/>
    <w:rsid w:val="00AC77D8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6992"/>
    <w:rsid w:val="00BA6B45"/>
    <w:rsid w:val="00BB3C4D"/>
    <w:rsid w:val="00BC3FF3"/>
    <w:rsid w:val="00BD41E4"/>
    <w:rsid w:val="00BD6428"/>
    <w:rsid w:val="00C247AA"/>
    <w:rsid w:val="00C3131D"/>
    <w:rsid w:val="00C331CA"/>
    <w:rsid w:val="00C54A94"/>
    <w:rsid w:val="00C6552C"/>
    <w:rsid w:val="00C66635"/>
    <w:rsid w:val="00C77224"/>
    <w:rsid w:val="00C8349A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A31FE"/>
    <w:rsid w:val="00DD6776"/>
    <w:rsid w:val="00DD7592"/>
    <w:rsid w:val="00DD7B9E"/>
    <w:rsid w:val="00DE65AC"/>
    <w:rsid w:val="00E05D5C"/>
    <w:rsid w:val="00E129A8"/>
    <w:rsid w:val="00E36DC6"/>
    <w:rsid w:val="00E52385"/>
    <w:rsid w:val="00E547F8"/>
    <w:rsid w:val="00E766C5"/>
    <w:rsid w:val="00E82244"/>
    <w:rsid w:val="00E836E6"/>
    <w:rsid w:val="00E90BED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6934-7B79-46E6-ACCE-4C64F7A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customStyle="1" w:styleId="Textbody">
    <w:name w:val="Text body"/>
    <w:basedOn w:val="a"/>
    <w:uiPriority w:val="99"/>
    <w:rsid w:val="009322C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2">
    <w:name w:val="Основной текст2"/>
    <w:basedOn w:val="a"/>
    <w:rsid w:val="009322CC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styleId="a9">
    <w:name w:val="Body Text Indent"/>
    <w:basedOn w:val="a"/>
    <w:link w:val="aa"/>
    <w:rsid w:val="009322CC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9322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C247A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247A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1ABC-8116-4A8F-B82A-DFF5A3DF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Microsoft Office</cp:lastModifiedBy>
  <cp:revision>9</cp:revision>
  <cp:lastPrinted>2021-09-16T08:54:00Z</cp:lastPrinted>
  <dcterms:created xsi:type="dcterms:W3CDTF">2022-10-06T12:11:00Z</dcterms:created>
  <dcterms:modified xsi:type="dcterms:W3CDTF">2022-11-11T12:03:00Z</dcterms:modified>
</cp:coreProperties>
</file>